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p>
    <w:p>
      <w:pPr>
        <w:spacing w:after="0"/>
      </w:pPr>
    </w:p>
    <w:p>
      <w:pPr>
        <w:spacing w:after="0"/>
      </w:pPr>
    </w:p>
    <w:p>
      <w:pPr>
        <w:spacing w:after="0"/>
      </w:pPr>
    </w:p>
    <w:p>
      <w:pPr>
        <w:spacing w:after="0"/>
      </w:pPr>
    </w:p>
    <w:p>
      <w:pPr>
        <w:spacing w:after="0"/>
      </w:pPr>
    </w:p>
    <w:p>
      <w:pPr>
        <w:spacing w:after="200" w:before="0" w:line="276"/>
        <w:jc w:val="center"/>
      </w:pPr>
      <w:r>
        <w:rPr>
          <w:rFonts w:ascii="Times New Roman" w:cs="Times New Roman" w:eastAsia="Times New Roman" w:hAnsi="Times New Roman"/>
          <w:b/>
          <w:bCs/>
          <w:i w:val="false"/>
          <w:iCs w:val="false"/>
          <w:sz w:val="36"/>
          <w:szCs w:val="36"/>
        </w:rPr>
        <w:t xml:space="preserve">EQUIPMENT SUPPLY AND BROKERAGE AGREEMENT</w:t>
      </w:r>
    </w:p>
    <w:p>
      <w:pPr>
        <w:spacing w:after="0"/>
      </w:pPr>
    </w:p>
    <w:p>
      <w:pPr>
        <w:spacing w:after="200" w:before="0" w:line="276"/>
        <w:jc w:val="center"/>
      </w:pPr>
      <w:r>
        <w:rPr>
          <w:rFonts w:ascii="Times New Roman" w:cs="Times New Roman" w:eastAsia="Times New Roman" w:hAnsi="Times New Roman"/>
          <w:b w:val="false"/>
          <w:bCs w:val="false"/>
          <w:i/>
          <w:iCs/>
          <w:sz w:val="24"/>
          <w:szCs w:val="24"/>
        </w:rPr>
        <w:t xml:space="preserve">between</w:t>
      </w:r>
    </w:p>
    <w:p>
      <w:pPr>
        <w:spacing w:after="0"/>
      </w:pPr>
    </w:p>
    <w:p>
      <w:pPr>
        <w:spacing w:after="100" w:before="0" w:line="276"/>
        <w:jc w:val="center"/>
      </w:pPr>
      <w:r>
        <w:rPr>
          <w:rFonts w:ascii="Times New Roman" w:cs="Times New Roman" w:eastAsia="Times New Roman" w:hAnsi="Times New Roman"/>
          <w:b/>
          <w:bCs/>
          <w:i w:val="false"/>
          <w:iCs w:val="false"/>
          <w:sz w:val="28"/>
          <w:szCs w:val="28"/>
        </w:rPr>
        <w:t xml:space="preserve">HAURAKI PLANT &amp; MACHINERY LIMITED</w:t>
      </w:r>
    </w:p>
    <w:p>
      <w:pPr>
        <w:spacing w:after="300" w:before="0" w:line="276"/>
        <w:jc w:val="center"/>
      </w:pPr>
      <w:r>
        <w:rPr>
          <w:rFonts w:ascii="Times New Roman" w:cs="Times New Roman" w:eastAsia="Times New Roman" w:hAnsi="Times New Roman"/>
          <w:b w:val="false"/>
          <w:bCs w:val="false"/>
          <w:i/>
          <w:iCs/>
          <w:sz w:val="22"/>
          <w:szCs w:val="22"/>
        </w:rPr>
        <w:t xml:space="preserve">(the Supplier)</w:t>
      </w:r>
    </w:p>
    <w:p>
      <w:pPr>
        <w:spacing w:after="300" w:before="0" w:line="276"/>
        <w:jc w:val="center"/>
      </w:pPr>
      <w:r>
        <w:rPr>
          <w:rFonts w:ascii="Times New Roman" w:cs="Times New Roman" w:eastAsia="Times New Roman" w:hAnsi="Times New Roman"/>
          <w:b w:val="false"/>
          <w:bCs w:val="false"/>
          <w:i/>
          <w:iCs/>
          <w:sz w:val="24"/>
          <w:szCs w:val="24"/>
        </w:rPr>
        <w:t xml:space="preserve">and</w:t>
      </w:r>
    </w:p>
    <w:p>
      <w:pPr>
        <w:spacing w:after="100" w:before="0" w:line="276"/>
        <w:jc w:val="center"/>
      </w:pPr>
      <w:r>
        <w:rPr>
          <w:rFonts w:ascii="Times New Roman" w:cs="Times New Roman" w:eastAsia="Times New Roman" w:hAnsi="Times New Roman"/>
          <w:b/>
          <w:bCs/>
          <w:i w:val="false"/>
          <w:iCs w:val="false"/>
          <w:sz w:val="28"/>
          <w:szCs w:val="28"/>
        </w:rPr>
        <w:t xml:space="preserve">SOUTHERN CROSS EQUIPMENT BROKERS LIMITED</w:t>
      </w:r>
    </w:p>
    <w:p>
      <w:pPr>
        <w:spacing w:after="400" w:before="0" w:line="276"/>
        <w:jc w:val="center"/>
      </w:pPr>
      <w:r>
        <w:rPr>
          <w:rFonts w:ascii="Times New Roman" w:cs="Times New Roman" w:eastAsia="Times New Roman" w:hAnsi="Times New Roman"/>
          <w:b w:val="false"/>
          <w:bCs w:val="false"/>
          <w:i/>
          <w:iCs/>
          <w:sz w:val="22"/>
          <w:szCs w:val="22"/>
        </w:rPr>
        <w:t xml:space="preserve">(the Broker)</w:t>
      </w:r>
    </w:p>
    <w:p>
      <w:pPr>
        <w:spacing w:after="0"/>
      </w:pPr>
    </w:p>
    <w:p>
      <w:pPr>
        <w:spacing w:after="0"/>
      </w:pPr>
    </w:p>
    <w:p>
      <w:pPr>
        <w:spacing w:after="0"/>
      </w:pPr>
    </w:p>
    <w:p>
      <w:pPr>
        <w:spacing w:after="0"/>
      </w:pPr>
    </w:p>
    <w:p>
      <w:pPr>
        <w:spacing w:after="200"/>
        <w:jc w:val="center"/>
      </w:pPr>
      <w:r>
        <w:rPr>
          <w:rFonts w:ascii="Times New Roman" w:cs="Times New Roman" w:eastAsia="Times New Roman" w:hAnsi="Times New Roman"/>
          <w:sz w:val="24"/>
          <w:szCs w:val="24"/>
        </w:rPr>
        <w:t xml:space="preserve">Dated: 15 March 2023</w:t>
      </w:r>
    </w:p>
    <w:p>
      <w:pPr>
        <w:spacing w:after="0"/>
      </w:pPr>
    </w:p>
    <w:p>
      <w:pPr>
        <w:spacing w:after="0"/>
      </w:pPr>
    </w:p>
    <w:p>
      <w:pPr>
        <w:spacing w:after="0"/>
      </w:pPr>
    </w:p>
    <w:p>
      <w:pPr>
        <w:spacing w:after="60" w:before="0" w:line="276"/>
        <w:jc w:val="center"/>
      </w:pPr>
      <w:r>
        <w:rPr>
          <w:rFonts w:ascii="Times New Roman" w:cs="Times New Roman" w:eastAsia="Times New Roman" w:hAnsi="Times New Roman"/>
          <w:b w:val="false"/>
          <w:bCs w:val="false"/>
          <w:i/>
          <w:iCs/>
          <w:sz w:val="20"/>
          <w:szCs w:val="20"/>
        </w:rPr>
        <w:t xml:space="preserve">Prepared by:</w:t>
      </w:r>
    </w:p>
    <w:p>
      <w:pPr>
        <w:spacing w:after="40" w:before="0" w:line="276"/>
        <w:jc w:val="center"/>
      </w:pPr>
      <w:r>
        <w:rPr>
          <w:rFonts w:ascii="Times New Roman" w:cs="Times New Roman" w:eastAsia="Times New Roman" w:hAnsi="Times New Roman"/>
          <w:b/>
          <w:bCs/>
          <w:i w:val="false"/>
          <w:iCs w:val="false"/>
          <w:sz w:val="22"/>
          <w:szCs w:val="22"/>
        </w:rPr>
        <w:t xml:space="preserve">Henderson &amp; Associates</w:t>
      </w:r>
    </w:p>
    <w:p>
      <w:pPr>
        <w:spacing w:after="40" w:before="0" w:line="276"/>
        <w:jc w:val="center"/>
      </w:pPr>
      <w:r>
        <w:rPr>
          <w:rFonts w:ascii="Times New Roman" w:cs="Times New Roman" w:eastAsia="Times New Roman" w:hAnsi="Times New Roman"/>
          <w:b w:val="false"/>
          <w:bCs w:val="false"/>
          <w:i w:val="false"/>
          <w:iCs w:val="false"/>
          <w:sz w:val="20"/>
          <w:szCs w:val="20"/>
        </w:rPr>
        <w:t xml:space="preserve">Barristers &amp; Solicitors</w:t>
      </w:r>
    </w:p>
    <w:p>
      <w:pPr>
        <w:spacing w:after="40" w:before="0" w:line="276"/>
        <w:jc w:val="center"/>
      </w:pPr>
      <w:r>
        <w:rPr>
          <w:rFonts w:ascii="Times New Roman" w:cs="Times New Roman" w:eastAsia="Times New Roman" w:hAnsi="Times New Roman"/>
          <w:b w:val="false"/>
          <w:bCs w:val="false"/>
          <w:i w:val="false"/>
          <w:iCs w:val="false"/>
          <w:sz w:val="20"/>
          <w:szCs w:val="20"/>
        </w:rPr>
        <w:t xml:space="preserve">Level 4, 22 Victoria Street, Hamilton 3204</w:t>
      </w:r>
    </w:p>
    <w:p>
      <w:pPr>
        <w:spacing w:after="200" w:before="0" w:line="276"/>
        <w:jc w:val="center"/>
      </w:pPr>
      <w:r>
        <w:rPr>
          <w:rFonts w:ascii="Times New Roman" w:cs="Times New Roman" w:eastAsia="Times New Roman" w:hAnsi="Times New Roman"/>
          <w:b w:val="false"/>
          <w:bCs w:val="false"/>
          <w:i w:val="false"/>
          <w:iCs w:val="false"/>
          <w:sz w:val="20"/>
          <w:szCs w:val="20"/>
        </w:rPr>
        <w:t xml:space="preserve">Ref: HEN/2023/04891</w:t>
      </w:r>
    </w:p>
    <w:p>
      <w:pPr>
        <w:pageBreakBefore/>
        <w:spacing w:after="400" w:before="0" w:line="276"/>
        <w:jc w:val="center"/>
      </w:pPr>
      <w:r>
        <w:rPr>
          <w:rFonts w:ascii="Times New Roman" w:cs="Times New Roman" w:eastAsia="Times New Roman" w:hAnsi="Times New Roman"/>
          <w:b/>
          <w:bCs/>
          <w:i w:val="false"/>
          <w:iCs w:val="false"/>
          <w:sz w:val="28"/>
          <w:szCs w:val="28"/>
        </w:rPr>
        <w:t xml:space="preserve">TABLE OF CONTENTS</w:t>
      </w:r>
    </w:p>
    <w:p>
      <w:pPr>
        <w:tabs>
          <w:tab w:val="right" w:pos="9026"/>
        </w:tabs>
        <w:spacing w:after="80"/>
      </w:pPr>
      <w:r>
        <w:rPr>
          <w:rFonts w:ascii="Times New Roman" w:cs="Times New Roman" w:eastAsia="Times New Roman" w:hAnsi="Times New Roman"/>
          <w:sz w:val="22"/>
          <w:szCs w:val="22"/>
        </w:rPr>
        <w:t xml:space="preserve">1.  </w:t>
      </w:r>
      <w:r>
        <w:rPr>
          <w:rFonts w:ascii="Times New Roman" w:cs="Times New Roman" w:eastAsia="Times New Roman" w:hAnsi="Times New Roman"/>
          <w:sz w:val="22"/>
          <w:szCs w:val="22"/>
        </w:rPr>
        <w:t xml:space="preserve">Definitions and Interpretation</w:t>
      </w:r>
      <w:r>
        <w:rPr>
          <w:rFonts w:ascii="Times New Roman" w:cs="Times New Roman" w:eastAsia="Times New Roman" w:hAnsi="Times New Roman"/>
          <w:sz w:val="22"/>
          <w:szCs w:val="22"/>
        </w:rPr>
        <w:t xml:space="preserve">	3</w:t>
      </w:r>
    </w:p>
    <w:p>
      <w:pPr>
        <w:tabs>
          <w:tab w:val="right" w:pos="9026"/>
        </w:tabs>
        <w:spacing w:after="80"/>
      </w:pPr>
      <w:r>
        <w:rPr>
          <w:rFonts w:ascii="Times New Roman" w:cs="Times New Roman" w:eastAsia="Times New Roman" w:hAnsi="Times New Roman"/>
          <w:sz w:val="22"/>
          <w:szCs w:val="22"/>
        </w:rPr>
        <w:t xml:space="preserve">2.  </w:t>
      </w:r>
      <w:r>
        <w:rPr>
          <w:rFonts w:ascii="Times New Roman" w:cs="Times New Roman" w:eastAsia="Times New Roman" w:hAnsi="Times New Roman"/>
          <w:sz w:val="22"/>
          <w:szCs w:val="22"/>
        </w:rPr>
        <w:t xml:space="preserve">Appointment and Scope</w:t>
      </w:r>
      <w:r>
        <w:rPr>
          <w:rFonts w:ascii="Times New Roman" w:cs="Times New Roman" w:eastAsia="Times New Roman" w:hAnsi="Times New Roman"/>
          <w:sz w:val="22"/>
          <w:szCs w:val="22"/>
        </w:rPr>
        <w:t xml:space="preserve">	5</w:t>
      </w:r>
    </w:p>
    <w:p>
      <w:pPr>
        <w:tabs>
          <w:tab w:val="right" w:pos="9026"/>
        </w:tabs>
        <w:spacing w:after="80"/>
      </w:pPr>
      <w:r>
        <w:rPr>
          <w:rFonts w:ascii="Times New Roman" w:cs="Times New Roman" w:eastAsia="Times New Roman" w:hAnsi="Times New Roman"/>
          <w:sz w:val="22"/>
          <w:szCs w:val="22"/>
        </w:rPr>
        <w:t xml:space="preserve">3.  </w:t>
      </w:r>
      <w:r>
        <w:rPr>
          <w:rFonts w:ascii="Times New Roman" w:cs="Times New Roman" w:eastAsia="Times New Roman" w:hAnsi="Times New Roman"/>
          <w:sz w:val="22"/>
          <w:szCs w:val="22"/>
        </w:rPr>
        <w:t xml:space="preserve">Broker Obligations</w:t>
      </w:r>
      <w:r>
        <w:rPr>
          <w:rFonts w:ascii="Times New Roman" w:cs="Times New Roman" w:eastAsia="Times New Roman" w:hAnsi="Times New Roman"/>
          <w:sz w:val="22"/>
          <w:szCs w:val="22"/>
        </w:rPr>
        <w:t xml:space="preserve">	6</w:t>
      </w:r>
    </w:p>
    <w:p>
      <w:pPr>
        <w:tabs>
          <w:tab w:val="right" w:pos="9026"/>
        </w:tabs>
        <w:spacing w:after="80"/>
      </w:pPr>
      <w:r>
        <w:rPr>
          <w:rFonts w:ascii="Times New Roman" w:cs="Times New Roman" w:eastAsia="Times New Roman" w:hAnsi="Times New Roman"/>
          <w:sz w:val="22"/>
          <w:szCs w:val="22"/>
        </w:rPr>
        <w:t xml:space="preserve">4.  </w:t>
      </w:r>
      <w:r>
        <w:rPr>
          <w:rFonts w:ascii="Times New Roman" w:cs="Times New Roman" w:eastAsia="Times New Roman" w:hAnsi="Times New Roman"/>
          <w:sz w:val="22"/>
          <w:szCs w:val="22"/>
        </w:rPr>
        <w:t xml:space="preserve">Supplier Obligations</w:t>
      </w:r>
      <w:r>
        <w:rPr>
          <w:rFonts w:ascii="Times New Roman" w:cs="Times New Roman" w:eastAsia="Times New Roman" w:hAnsi="Times New Roman"/>
          <w:sz w:val="22"/>
          <w:szCs w:val="22"/>
        </w:rPr>
        <w:t xml:space="preserve">	8</w:t>
      </w:r>
    </w:p>
    <w:p>
      <w:pPr>
        <w:tabs>
          <w:tab w:val="right" w:pos="9026"/>
        </w:tabs>
        <w:spacing w:after="80"/>
      </w:pPr>
      <w:r>
        <w:rPr>
          <w:rFonts w:ascii="Times New Roman" w:cs="Times New Roman" w:eastAsia="Times New Roman" w:hAnsi="Times New Roman"/>
          <w:sz w:val="22"/>
          <w:szCs w:val="22"/>
        </w:rPr>
        <w:t xml:space="preserve">5.  </w:t>
      </w:r>
      <w:r>
        <w:rPr>
          <w:rFonts w:ascii="Times New Roman" w:cs="Times New Roman" w:eastAsia="Times New Roman" w:hAnsi="Times New Roman"/>
          <w:sz w:val="22"/>
          <w:szCs w:val="22"/>
        </w:rPr>
        <w:t xml:space="preserve">Orders, Pricing and Payment</w:t>
      </w:r>
      <w:r>
        <w:rPr>
          <w:rFonts w:ascii="Times New Roman" w:cs="Times New Roman" w:eastAsia="Times New Roman" w:hAnsi="Times New Roman"/>
          <w:sz w:val="22"/>
          <w:szCs w:val="22"/>
        </w:rPr>
        <w:t xml:space="preserve">	9</w:t>
      </w:r>
    </w:p>
    <w:p>
      <w:pPr>
        <w:tabs>
          <w:tab w:val="right" w:pos="9026"/>
        </w:tabs>
        <w:spacing w:after="80"/>
      </w:pPr>
      <w:r>
        <w:rPr>
          <w:rFonts w:ascii="Times New Roman" w:cs="Times New Roman" w:eastAsia="Times New Roman" w:hAnsi="Times New Roman"/>
          <w:sz w:val="22"/>
          <w:szCs w:val="22"/>
        </w:rPr>
        <w:t xml:space="preserve">6.  </w:t>
      </w:r>
      <w:r>
        <w:rPr>
          <w:rFonts w:ascii="Times New Roman" w:cs="Times New Roman" w:eastAsia="Times New Roman" w:hAnsi="Times New Roman"/>
          <w:sz w:val="22"/>
          <w:szCs w:val="22"/>
        </w:rPr>
        <w:t xml:space="preserve">Commission and Remuneration</w:t>
      </w:r>
      <w:r>
        <w:rPr>
          <w:rFonts w:ascii="Times New Roman" w:cs="Times New Roman" w:eastAsia="Times New Roman" w:hAnsi="Times New Roman"/>
          <w:sz w:val="22"/>
          <w:szCs w:val="22"/>
        </w:rPr>
        <w:t xml:space="preserve">	10</w:t>
      </w:r>
    </w:p>
    <w:p>
      <w:pPr>
        <w:tabs>
          <w:tab w:val="right" w:pos="9026"/>
        </w:tabs>
        <w:spacing w:after="80"/>
      </w:pPr>
      <w:r>
        <w:rPr>
          <w:rFonts w:ascii="Times New Roman" w:cs="Times New Roman" w:eastAsia="Times New Roman" w:hAnsi="Times New Roman"/>
          <w:sz w:val="22"/>
          <w:szCs w:val="22"/>
        </w:rPr>
        <w:t xml:space="preserve">7.  </w:t>
      </w:r>
      <w:r>
        <w:rPr>
          <w:rFonts w:ascii="Times New Roman" w:cs="Times New Roman" w:eastAsia="Times New Roman" w:hAnsi="Times New Roman"/>
          <w:sz w:val="22"/>
          <w:szCs w:val="22"/>
        </w:rPr>
        <w:t xml:space="preserve">Delivery, Risk and Title</w:t>
      </w:r>
      <w:r>
        <w:rPr>
          <w:rFonts w:ascii="Times New Roman" w:cs="Times New Roman" w:eastAsia="Times New Roman" w:hAnsi="Times New Roman"/>
          <w:sz w:val="22"/>
          <w:szCs w:val="22"/>
        </w:rPr>
        <w:t xml:space="preserve">	11</w:t>
      </w:r>
    </w:p>
    <w:p>
      <w:pPr>
        <w:tabs>
          <w:tab w:val="right" w:pos="9026"/>
        </w:tabs>
        <w:spacing w:after="80"/>
      </w:pPr>
      <w:r>
        <w:rPr>
          <w:rFonts w:ascii="Times New Roman" w:cs="Times New Roman" w:eastAsia="Times New Roman" w:hAnsi="Times New Roman"/>
          <w:sz w:val="22"/>
          <w:szCs w:val="22"/>
        </w:rPr>
        <w:t xml:space="preserve">8.  </w:t>
      </w:r>
      <w:r>
        <w:rPr>
          <w:rFonts w:ascii="Times New Roman" w:cs="Times New Roman" w:eastAsia="Times New Roman" w:hAnsi="Times New Roman"/>
          <w:sz w:val="22"/>
          <w:szCs w:val="22"/>
        </w:rPr>
        <w:t xml:space="preserve">Warranties and Liability</w:t>
      </w:r>
      <w:r>
        <w:rPr>
          <w:rFonts w:ascii="Times New Roman" w:cs="Times New Roman" w:eastAsia="Times New Roman" w:hAnsi="Times New Roman"/>
          <w:sz w:val="22"/>
          <w:szCs w:val="22"/>
        </w:rPr>
        <w:t xml:space="preserve">	12</w:t>
      </w:r>
    </w:p>
    <w:p>
      <w:pPr>
        <w:tabs>
          <w:tab w:val="right" w:pos="9026"/>
        </w:tabs>
        <w:spacing w:after="80"/>
      </w:pPr>
      <w:r>
        <w:rPr>
          <w:rFonts w:ascii="Times New Roman" w:cs="Times New Roman" w:eastAsia="Times New Roman" w:hAnsi="Times New Roman"/>
          <w:sz w:val="22"/>
          <w:szCs w:val="22"/>
        </w:rPr>
        <w:t xml:space="preserve">9.  </w:t>
      </w:r>
      <w:r>
        <w:rPr>
          <w:rFonts w:ascii="Times New Roman" w:cs="Times New Roman" w:eastAsia="Times New Roman" w:hAnsi="Times New Roman"/>
          <w:sz w:val="22"/>
          <w:szCs w:val="22"/>
        </w:rPr>
        <w:t xml:space="preserve">Intellectual Property</w:t>
      </w:r>
      <w:r>
        <w:rPr>
          <w:rFonts w:ascii="Times New Roman" w:cs="Times New Roman" w:eastAsia="Times New Roman" w:hAnsi="Times New Roman"/>
          <w:sz w:val="22"/>
          <w:szCs w:val="22"/>
        </w:rPr>
        <w:t xml:space="preserve">	13</w:t>
      </w:r>
    </w:p>
    <w:p>
      <w:pPr>
        <w:tabs>
          <w:tab w:val="right" w:pos="9026"/>
        </w:tabs>
        <w:spacing w:after="80"/>
      </w:pPr>
      <w:r>
        <w:rPr>
          <w:rFonts w:ascii="Times New Roman" w:cs="Times New Roman" w:eastAsia="Times New Roman" w:hAnsi="Times New Roman"/>
          <w:sz w:val="22"/>
          <w:szCs w:val="22"/>
        </w:rPr>
        <w:t xml:space="preserve">10.  </w:t>
      </w:r>
      <w:r>
        <w:rPr>
          <w:rFonts w:ascii="Times New Roman" w:cs="Times New Roman" w:eastAsia="Times New Roman" w:hAnsi="Times New Roman"/>
          <w:sz w:val="22"/>
          <w:szCs w:val="22"/>
        </w:rPr>
        <w:t xml:space="preserve">Confidentiality</w:t>
      </w:r>
      <w:r>
        <w:rPr>
          <w:rFonts w:ascii="Times New Roman" w:cs="Times New Roman" w:eastAsia="Times New Roman" w:hAnsi="Times New Roman"/>
          <w:sz w:val="22"/>
          <w:szCs w:val="22"/>
        </w:rPr>
        <w:t xml:space="preserve">	14</w:t>
      </w:r>
    </w:p>
    <w:p>
      <w:pPr>
        <w:tabs>
          <w:tab w:val="right" w:pos="9026"/>
        </w:tabs>
        <w:spacing w:after="80"/>
      </w:pPr>
      <w:r>
        <w:rPr>
          <w:rFonts w:ascii="Times New Roman" w:cs="Times New Roman" w:eastAsia="Times New Roman" w:hAnsi="Times New Roman"/>
          <w:sz w:val="22"/>
          <w:szCs w:val="22"/>
        </w:rPr>
        <w:t xml:space="preserve">11.  </w:t>
      </w:r>
      <w:r>
        <w:rPr>
          <w:rFonts w:ascii="Times New Roman" w:cs="Times New Roman" w:eastAsia="Times New Roman" w:hAnsi="Times New Roman"/>
          <w:sz w:val="22"/>
          <w:szCs w:val="22"/>
        </w:rPr>
        <w:t xml:space="preserve">Term and Termination</w:t>
      </w:r>
      <w:r>
        <w:rPr>
          <w:rFonts w:ascii="Times New Roman" w:cs="Times New Roman" w:eastAsia="Times New Roman" w:hAnsi="Times New Roman"/>
          <w:sz w:val="22"/>
          <w:szCs w:val="22"/>
        </w:rPr>
        <w:t xml:space="preserve">	15</w:t>
      </w:r>
    </w:p>
    <w:p>
      <w:pPr>
        <w:tabs>
          <w:tab w:val="right" w:pos="9026"/>
        </w:tabs>
        <w:spacing w:after="80"/>
      </w:pPr>
      <w:r>
        <w:rPr>
          <w:rFonts w:ascii="Times New Roman" w:cs="Times New Roman" w:eastAsia="Times New Roman" w:hAnsi="Times New Roman"/>
          <w:sz w:val="22"/>
          <w:szCs w:val="22"/>
        </w:rPr>
        <w:t xml:space="preserve">12.  </w:t>
      </w:r>
      <w:r>
        <w:rPr>
          <w:rFonts w:ascii="Times New Roman" w:cs="Times New Roman" w:eastAsia="Times New Roman" w:hAnsi="Times New Roman"/>
          <w:sz w:val="22"/>
          <w:szCs w:val="22"/>
        </w:rPr>
        <w:t xml:space="preserve">Dispute Resolution</w:t>
      </w:r>
      <w:r>
        <w:rPr>
          <w:rFonts w:ascii="Times New Roman" w:cs="Times New Roman" w:eastAsia="Times New Roman" w:hAnsi="Times New Roman"/>
          <w:sz w:val="22"/>
          <w:szCs w:val="22"/>
        </w:rPr>
        <w:t xml:space="preserve">	16</w:t>
      </w:r>
    </w:p>
    <w:p>
      <w:pPr>
        <w:tabs>
          <w:tab w:val="right" w:pos="9026"/>
        </w:tabs>
        <w:spacing w:after="80"/>
      </w:pPr>
      <w:r>
        <w:rPr>
          <w:rFonts w:ascii="Times New Roman" w:cs="Times New Roman" w:eastAsia="Times New Roman" w:hAnsi="Times New Roman"/>
          <w:sz w:val="22"/>
          <w:szCs w:val="22"/>
        </w:rPr>
        <w:t xml:space="preserve">13.  </w:t>
      </w:r>
      <w:r>
        <w:rPr>
          <w:rFonts w:ascii="Times New Roman" w:cs="Times New Roman" w:eastAsia="Times New Roman" w:hAnsi="Times New Roman"/>
          <w:sz w:val="22"/>
          <w:szCs w:val="22"/>
        </w:rPr>
        <w:t xml:space="preserve">General Provisions</w:t>
      </w:r>
      <w:r>
        <w:rPr>
          <w:rFonts w:ascii="Times New Roman" w:cs="Times New Roman" w:eastAsia="Times New Roman" w:hAnsi="Times New Roman"/>
          <w:sz w:val="22"/>
          <w:szCs w:val="22"/>
        </w:rPr>
        <w:t xml:space="preserve">	17</w:t>
      </w:r>
    </w:p>
    <w:p>
      <w:pPr>
        <w:tabs>
          <w:tab w:val="right" w:pos="9026"/>
        </w:tabs>
        <w:spacing w:after="80"/>
      </w:pP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Appendix A – Product Schedule</w:t>
      </w:r>
      <w:r>
        <w:rPr>
          <w:rFonts w:ascii="Times New Roman" w:cs="Times New Roman" w:eastAsia="Times New Roman" w:hAnsi="Times New Roman"/>
          <w:sz w:val="22"/>
          <w:szCs w:val="22"/>
        </w:rPr>
        <w:t xml:space="preserve">	19</w:t>
      </w:r>
    </w:p>
    <w:p>
      <w:pPr>
        <w:tabs>
          <w:tab w:val="right" w:pos="9026"/>
        </w:tabs>
        <w:spacing w:after="80"/>
      </w:pP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Appendix B – Excluded Key Accounts</w:t>
      </w:r>
      <w:r>
        <w:rPr>
          <w:rFonts w:ascii="Times New Roman" w:cs="Times New Roman" w:eastAsia="Times New Roman" w:hAnsi="Times New Roman"/>
          <w:sz w:val="22"/>
          <w:szCs w:val="22"/>
        </w:rPr>
        <w:t xml:space="preserve">	20</w:t>
      </w:r>
    </w:p>
    <w:p>
      <w:pPr>
        <w:tabs>
          <w:tab w:val="right" w:pos="9026"/>
        </w:tabs>
        <w:spacing w:after="80"/>
      </w:pP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Appendix C – Commission Rate Table</w:t>
      </w:r>
      <w:r>
        <w:rPr>
          <w:rFonts w:ascii="Times New Roman" w:cs="Times New Roman" w:eastAsia="Times New Roman" w:hAnsi="Times New Roman"/>
          <w:sz w:val="22"/>
          <w:szCs w:val="22"/>
        </w:rPr>
        <w:t xml:space="preserve">	20</w:t>
      </w:r>
    </w:p>
    <w:p>
      <w:pPr>
        <w:tabs>
          <w:tab w:val="right" w:pos="9026"/>
        </w:tabs>
        <w:spacing w:after="80"/>
      </w:pP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Appendix D – Form of Purchase Order</w:t>
      </w:r>
      <w:r>
        <w:rPr>
          <w:rFonts w:ascii="Times New Roman" w:cs="Times New Roman" w:eastAsia="Times New Roman" w:hAnsi="Times New Roman"/>
          <w:sz w:val="22"/>
          <w:szCs w:val="22"/>
        </w:rPr>
        <w:t xml:space="preserve">	21</w:t>
      </w:r>
    </w:p>
    <w:p>
      <w:pPr>
        <w:tabs>
          <w:tab w:val="right" w:pos="9026"/>
        </w:tabs>
        <w:spacing w:after="80"/>
      </w:pP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Appendix E – Approved Marketing Guidelines</w:t>
      </w:r>
      <w:r>
        <w:rPr>
          <w:rFonts w:ascii="Times New Roman" w:cs="Times New Roman" w:eastAsia="Times New Roman" w:hAnsi="Times New Roman"/>
          <w:sz w:val="22"/>
          <w:szCs w:val="22"/>
        </w:rPr>
        <w:t xml:space="preserve">	21</w:t>
      </w:r>
    </w:p>
    <w:p>
      <w:pPr>
        <w:pageBreakBefore/>
        <w:spacing w:after="200" w:before="0" w:line="276"/>
        <w:jc w:val="left"/>
      </w:pPr>
      <w:r>
        <w:rPr>
          <w:rFonts w:ascii="Times New Roman" w:cs="Times New Roman" w:eastAsia="Times New Roman" w:hAnsi="Times New Roman"/>
          <w:b/>
          <w:bCs/>
          <w:i w:val="false"/>
          <w:iCs w:val="false"/>
          <w:sz w:val="26"/>
          <w:szCs w:val="26"/>
        </w:rPr>
        <w:t xml:space="preserve">PARTIES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b/>
          <w:bCs/>
          <w:i w:val="false"/>
          <w:iCs w:val="false"/>
          <w:sz w:val="22"/>
          <w:szCs w:val="22"/>
        </w:rPr>
        <w:t xml:space="preserve">HAURAKI PLANT &amp; MACHINERY LIMITED</w:t>
      </w:r>
      <w:r>
        <w:rPr>
          <w:rFonts w:ascii="Times New Roman" w:cs="Times New Roman" w:eastAsia="Times New Roman" w:hAnsi="Times New Roman"/>
          <w:sz w:val="22"/>
          <w:szCs w:val="22"/>
        </w:rPr>
        <w:t xml:space="preserve"> (NZBN 9429041234567), a company incorporated in New Zealand under the Companies Act 1993 and having its registered office at 17 Anglesea Street, Hamilton 3204 (the </w:t>
      </w:r>
      <w:r>
        <w:rPr>
          <w:rFonts w:ascii="Times New Roman" w:cs="Times New Roman" w:eastAsia="Times New Roman" w:hAnsi="Times New Roman"/>
          <w:b/>
          <w:bCs/>
          <w:i w:val="false"/>
          <w:iCs w:val="false"/>
          <w:sz w:val="22"/>
          <w:szCs w:val="22"/>
        </w:rPr>
        <w:t xml:space="preserve">Supplier</w:t>
      </w:r>
      <w:r>
        <w:rPr>
          <w:rFonts w:ascii="Times New Roman" w:cs="Times New Roman" w:eastAsia="Times New Roman" w:hAnsi="Times New Roman"/>
          <w:sz w:val="22"/>
          <w:szCs w:val="22"/>
        </w:rPr>
        <w:t xml:space="preserve">).</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b/>
          <w:bCs/>
          <w:i w:val="false"/>
          <w:iCs w:val="false"/>
          <w:sz w:val="22"/>
          <w:szCs w:val="22"/>
        </w:rPr>
        <w:t xml:space="preserve">SOUTHERN CROSS EQUIPMENT BROKERS LIMITED</w:t>
      </w:r>
      <w:r>
        <w:rPr>
          <w:rFonts w:ascii="Times New Roman" w:cs="Times New Roman" w:eastAsia="Times New Roman" w:hAnsi="Times New Roman"/>
          <w:sz w:val="22"/>
          <w:szCs w:val="22"/>
        </w:rPr>
        <w:t xml:space="preserve"> (NZBN 9429049876543), a company incorporated in New Zealand under the Companies Act 1993 and having its registered office at 94 Cashel Street, Christchurch 8011 (the </w:t>
      </w:r>
      <w:r>
        <w:rPr>
          <w:rFonts w:ascii="Times New Roman" w:cs="Times New Roman" w:eastAsia="Times New Roman" w:hAnsi="Times New Roman"/>
          <w:b/>
          <w:bCs/>
          <w:i w:val="false"/>
          <w:iCs w:val="false"/>
          <w:sz w:val="22"/>
          <w:szCs w:val="22"/>
        </w:rPr>
        <w:t xml:space="preserve">Broker</w:t>
      </w:r>
      <w:r>
        <w:rPr>
          <w:rFonts w:ascii="Times New Roman" w:cs="Times New Roman" w:eastAsia="Times New Roman" w:hAnsi="Times New Roman"/>
          <w:sz w:val="22"/>
          <w:szCs w:val="22"/>
        </w:rPr>
        <w:t xml:space="preserve">).</w:t>
      </w:r>
    </w:p>
    <w:p>
      <w:pPr>
        <w:spacing w:after="0"/>
      </w:pPr>
    </w:p>
    <w:p>
      <w:pPr>
        <w:spacing w:after="200" w:before="0" w:line="276"/>
        <w:jc w:val="left"/>
      </w:pPr>
      <w:r>
        <w:rPr>
          <w:rFonts w:ascii="Times New Roman" w:cs="Times New Roman" w:eastAsia="Times New Roman" w:hAnsi="Times New Roman"/>
          <w:b/>
          <w:bCs/>
          <w:i w:val="false"/>
          <w:iCs w:val="false"/>
          <w:sz w:val="26"/>
          <w:szCs w:val="26"/>
        </w:rPr>
        <w:t xml:space="preserve">BACKGROUND</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Supplier carries on the business of manufacturing, assembling, importing and distributing heavy construction and earthmoving equipment within New Zealand.</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Broker carries on the business of marketing, selling and arranging the supply of heavy construction and earthmoving equipment to end-user customers throughout New Zealand.</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Supplier wishes to appoint the Broker, and the Broker wishes to accept appointment, on the terms and conditions set out in this Agreement, to market and facilitate the sale of the Supplier’s Equipment to End Customers within the Territory.</w:t>
      </w:r>
    </w:p>
    <w:p>
      <w:pPr>
        <w:spacing w:after="0"/>
      </w:pPr>
    </w:p>
    <w:p>
      <w:pPr>
        <w:spacing w:after="200" w:before="0" w:line="276"/>
        <w:jc w:val="both"/>
      </w:pPr>
      <w:r>
        <w:rPr>
          <w:rFonts w:ascii="Times New Roman" w:cs="Times New Roman" w:eastAsia="Times New Roman" w:hAnsi="Times New Roman"/>
          <w:b/>
          <w:bCs/>
          <w:i w:val="false"/>
          <w:iCs w:val="false"/>
          <w:sz w:val="22"/>
          <w:szCs w:val="22"/>
        </w:rPr>
        <w:t xml:space="preserve">IT IS AGREED as follows:</w:t>
      </w:r>
    </w:p>
    <w:p>
      <w:pPr>
        <w:pStyle w:val="Heading1"/>
        <w:spacing w:after="200" w:before="360"/>
      </w:pPr>
      <w:r>
        <w:rPr>
          <w:rFonts w:ascii="Times New Roman" w:cs="Times New Roman" w:eastAsia="Times New Roman" w:hAnsi="Times New Roman"/>
          <w:b/>
          <w:bCs/>
          <w:sz w:val="26"/>
          <w:szCs w:val="26"/>
        </w:rPr>
        <w:t xml:space="preserve">1.	DEFINITIONS AND INTERPRETATION</w:t>
      </w:r>
    </w:p>
    <w:p>
      <w:pPr>
        <w:pStyle w:val="Heading2"/>
        <w:spacing w:after="160" w:before="240"/>
      </w:pPr>
      <w:r>
        <w:rPr>
          <w:rFonts w:ascii="Times New Roman" w:cs="Times New Roman" w:eastAsia="Times New Roman" w:hAnsi="Times New Roman"/>
          <w:b/>
          <w:bCs/>
          <w:sz w:val="24"/>
          <w:szCs w:val="24"/>
        </w:rPr>
        <w:t xml:space="preserve">1.1	Definitions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In this Agreement, unless the context otherwise requires:</w:t>
      </w:r>
    </w:p>
    <w:p>
      <w:pPr>
        <w:spacing w:after="80" w:before="0" w:line="276"/>
        <w:ind w:left="720"/>
        <w:jc w:val="both"/>
      </w:pPr>
      <w:r>
        <w:rPr>
          <w:rFonts w:ascii="Times New Roman" w:cs="Times New Roman" w:eastAsia="Times New Roman" w:hAnsi="Times New Roman"/>
          <w:b/>
          <w:bCs/>
          <w:i w:val="false"/>
          <w:iCs w:val="false"/>
          <w:sz w:val="22"/>
          <w:szCs w:val="22"/>
        </w:rPr>
        <w:t xml:space="preserve">“Agreement”</w:t>
      </w:r>
      <w:r>
        <w:rPr>
          <w:rFonts w:ascii="Times New Roman" w:cs="Times New Roman" w:eastAsia="Times New Roman" w:hAnsi="Times New Roman"/>
          <w:sz w:val="22"/>
          <w:szCs w:val="22"/>
        </w:rPr>
        <w:t xml:space="preserve"> means this Equipment Supply and Brokerage Agreement, including all Appendices, as amended from time to time in accordance with clause 13.2.</w:t>
      </w:r>
    </w:p>
    <w:p>
      <w:pPr>
        <w:spacing w:after="80" w:before="0" w:line="276"/>
        <w:ind w:left="720"/>
        <w:jc w:val="both"/>
      </w:pPr>
      <w:r>
        <w:rPr>
          <w:rFonts w:ascii="Times New Roman" w:cs="Times New Roman" w:eastAsia="Times New Roman" w:hAnsi="Times New Roman"/>
          <w:b/>
          <w:bCs/>
          <w:i w:val="false"/>
          <w:iCs w:val="false"/>
          <w:sz w:val="22"/>
          <w:szCs w:val="22"/>
        </w:rPr>
        <w:t xml:space="preserve">“Approved Marketing Materials”</w:t>
      </w:r>
      <w:r>
        <w:rPr>
          <w:rFonts w:ascii="Times New Roman" w:cs="Times New Roman" w:eastAsia="Times New Roman" w:hAnsi="Times New Roman"/>
          <w:sz w:val="22"/>
          <w:szCs w:val="22"/>
        </w:rPr>
        <w:t xml:space="preserve"> means marketing collateral, brochures, technical literature, digital assets and promotional materials provided or approved in writing by the Supplier in accordance with Appendix E.</w:t>
      </w:r>
    </w:p>
    <w:p>
      <w:pPr>
        <w:spacing w:after="80" w:before="0" w:line="276"/>
        <w:ind w:left="720"/>
        <w:jc w:val="both"/>
      </w:pPr>
      <w:r>
        <w:rPr>
          <w:rFonts w:ascii="Times New Roman" w:cs="Times New Roman" w:eastAsia="Times New Roman" w:hAnsi="Times New Roman"/>
          <w:b/>
          <w:bCs/>
          <w:i w:val="false"/>
          <w:iCs w:val="false"/>
          <w:sz w:val="22"/>
          <w:szCs w:val="22"/>
        </w:rPr>
        <w:t xml:space="preserve">“Business Day”</w:t>
      </w:r>
      <w:r>
        <w:rPr>
          <w:rFonts w:ascii="Times New Roman" w:cs="Times New Roman" w:eastAsia="Times New Roman" w:hAnsi="Times New Roman"/>
          <w:sz w:val="22"/>
          <w:szCs w:val="22"/>
        </w:rPr>
        <w:t xml:space="preserve"> means any day other than a Saturday, Sunday, or public holiday in New Zealand as gazetted under the Holidays Act 2003.</w:t>
      </w:r>
    </w:p>
    <w:p>
      <w:pPr>
        <w:spacing w:after="80" w:before="0" w:line="276"/>
        <w:ind w:left="720"/>
        <w:jc w:val="both"/>
      </w:pPr>
      <w:r>
        <w:rPr>
          <w:rFonts w:ascii="Times New Roman" w:cs="Times New Roman" w:eastAsia="Times New Roman" w:hAnsi="Times New Roman"/>
          <w:b/>
          <w:bCs/>
          <w:i w:val="false"/>
          <w:iCs w:val="false"/>
          <w:sz w:val="22"/>
          <w:szCs w:val="22"/>
        </w:rPr>
        <w:t xml:space="preserve">“Commission”</w:t>
      </w:r>
      <w:r>
        <w:rPr>
          <w:rFonts w:ascii="Times New Roman" w:cs="Times New Roman" w:eastAsia="Times New Roman" w:hAnsi="Times New Roman"/>
          <w:sz w:val="22"/>
          <w:szCs w:val="22"/>
        </w:rPr>
        <w:t xml:space="preserve"> means the fees payable to the Broker calculated in accordance with clause 6 and Appendix C.</w:t>
      </w:r>
    </w:p>
    <w:p>
      <w:pPr>
        <w:spacing w:after="80" w:before="0" w:line="276"/>
        <w:ind w:left="720"/>
        <w:jc w:val="both"/>
      </w:pPr>
      <w:r>
        <w:rPr>
          <w:rFonts w:ascii="Times New Roman" w:cs="Times New Roman" w:eastAsia="Times New Roman" w:hAnsi="Times New Roman"/>
          <w:b/>
          <w:bCs/>
          <w:i w:val="false"/>
          <w:iCs w:val="false"/>
          <w:sz w:val="22"/>
          <w:szCs w:val="22"/>
        </w:rPr>
        <w:t xml:space="preserve">“Confidential Information”</w:t>
      </w:r>
      <w:r>
        <w:rPr>
          <w:rFonts w:ascii="Times New Roman" w:cs="Times New Roman" w:eastAsia="Times New Roman" w:hAnsi="Times New Roman"/>
          <w:sz w:val="22"/>
          <w:szCs w:val="22"/>
        </w:rPr>
        <w:t xml:space="preserve"> means all information of a confidential nature disclosed by one party to the other, whether before or after the date of this Agreement, including but not limited to trade secrets, business plans, pricing structures, customer lists, technical specifications, financial information and know-how, but excluding information that is or becomes publicly available other than through a breach of this Agreement.</w:t>
      </w:r>
    </w:p>
    <w:p>
      <w:pPr>
        <w:spacing w:after="80" w:before="0" w:line="276"/>
        <w:ind w:left="720"/>
        <w:jc w:val="both"/>
      </w:pPr>
      <w:r>
        <w:rPr>
          <w:rFonts w:ascii="Times New Roman" w:cs="Times New Roman" w:eastAsia="Times New Roman" w:hAnsi="Times New Roman"/>
          <w:b/>
          <w:bCs/>
          <w:i w:val="false"/>
          <w:iCs w:val="false"/>
          <w:sz w:val="22"/>
          <w:szCs w:val="22"/>
        </w:rPr>
        <w:t xml:space="preserve">“Demonstration Equipment”</w:t>
      </w:r>
      <w:r>
        <w:rPr>
          <w:rFonts w:ascii="Times New Roman" w:cs="Times New Roman" w:eastAsia="Times New Roman" w:hAnsi="Times New Roman"/>
          <w:sz w:val="22"/>
          <w:szCs w:val="22"/>
        </w:rPr>
        <w:t xml:space="preserve"> means Equipment provided by the Supplier to the Broker on consignment terms for the purpose of demonstration to prospective End Customers in accordance with clause 4.3.</w:t>
      </w:r>
    </w:p>
    <w:p>
      <w:pPr>
        <w:spacing w:after="80" w:before="0" w:line="276"/>
        <w:ind w:left="720"/>
        <w:jc w:val="both"/>
      </w:pPr>
      <w:r>
        <w:rPr>
          <w:rFonts w:ascii="Times New Roman" w:cs="Times New Roman" w:eastAsia="Times New Roman" w:hAnsi="Times New Roman"/>
          <w:b/>
          <w:bCs/>
          <w:i w:val="false"/>
          <w:iCs w:val="false"/>
          <w:sz w:val="22"/>
          <w:szCs w:val="22"/>
        </w:rPr>
        <w:t xml:space="preserve">“End Customer”</w:t>
      </w:r>
      <w:r>
        <w:rPr>
          <w:rFonts w:ascii="Times New Roman" w:cs="Times New Roman" w:eastAsia="Times New Roman" w:hAnsi="Times New Roman"/>
          <w:sz w:val="22"/>
          <w:szCs w:val="22"/>
        </w:rPr>
        <w:t xml:space="preserve"> means any person or entity that acquires or proposes to acquire Equipment for use in that person’s or entity’s own business or operations, and not for resale.</w:t>
      </w:r>
    </w:p>
    <w:p>
      <w:pPr>
        <w:spacing w:after="80" w:before="0" w:line="276"/>
        <w:ind w:left="720"/>
        <w:jc w:val="both"/>
      </w:pPr>
      <w:r>
        <w:rPr>
          <w:rFonts w:ascii="Times New Roman" w:cs="Times New Roman" w:eastAsia="Times New Roman" w:hAnsi="Times New Roman"/>
          <w:b/>
          <w:bCs/>
          <w:i w:val="false"/>
          <w:iCs w:val="false"/>
          <w:sz w:val="22"/>
          <w:szCs w:val="22"/>
        </w:rPr>
        <w:t xml:space="preserve">“Equipment”</w:t>
      </w:r>
      <w:r>
        <w:rPr>
          <w:rFonts w:ascii="Times New Roman" w:cs="Times New Roman" w:eastAsia="Times New Roman" w:hAnsi="Times New Roman"/>
          <w:sz w:val="22"/>
          <w:szCs w:val="22"/>
        </w:rPr>
        <w:t xml:space="preserve"> means the heavy construction and earthmoving machinery, plant, attachments and related spare parts described in Appendix A, as updated from time to time by the Supplier in accordance with clause 4.5.</w:t>
      </w:r>
    </w:p>
    <w:p>
      <w:pPr>
        <w:spacing w:after="80" w:before="0" w:line="276"/>
        <w:ind w:left="720"/>
        <w:jc w:val="both"/>
      </w:pPr>
      <w:r>
        <w:rPr>
          <w:rFonts w:ascii="Times New Roman" w:cs="Times New Roman" w:eastAsia="Times New Roman" w:hAnsi="Times New Roman"/>
          <w:b/>
          <w:bCs/>
          <w:i w:val="false"/>
          <w:iCs w:val="false"/>
          <w:sz w:val="22"/>
          <w:szCs w:val="22"/>
        </w:rPr>
        <w:t xml:space="preserve">“Excluded Account”</w:t>
      </w:r>
      <w:r>
        <w:rPr>
          <w:rFonts w:ascii="Times New Roman" w:cs="Times New Roman" w:eastAsia="Times New Roman" w:hAnsi="Times New Roman"/>
          <w:sz w:val="22"/>
          <w:szCs w:val="22"/>
        </w:rPr>
        <w:t xml:space="preserve"> means any End Customer listed in Appendix B, being existing key accounts of the Supplier with which the Supplier has reserved the right to deal directly.</w:t>
      </w:r>
    </w:p>
    <w:p>
      <w:pPr>
        <w:spacing w:after="80" w:before="0" w:line="276"/>
        <w:ind w:left="720"/>
        <w:jc w:val="both"/>
      </w:pPr>
      <w:r>
        <w:rPr>
          <w:rFonts w:ascii="Times New Roman" w:cs="Times New Roman" w:eastAsia="Times New Roman" w:hAnsi="Times New Roman"/>
          <w:b/>
          <w:bCs/>
          <w:i w:val="false"/>
          <w:iCs w:val="false"/>
          <w:sz w:val="22"/>
          <w:szCs w:val="22"/>
        </w:rPr>
        <w:t xml:space="preserve">“Force Majeure Event”</w:t>
      </w:r>
      <w:r>
        <w:rPr>
          <w:rFonts w:ascii="Times New Roman" w:cs="Times New Roman" w:eastAsia="Times New Roman" w:hAnsi="Times New Roman"/>
          <w:sz w:val="22"/>
          <w:szCs w:val="22"/>
        </w:rPr>
        <w:t xml:space="preserve"> means any event beyond the reasonable control of the affected party, including but not limited to: acts of God; earthquake, volcanic eruption, tsunami, flood, storm or other natural disaster; pandemic or epidemic; fire or explosion; war, armed conflict, terrorism, riot or civil unrest; government sanctions, embargo or import restriction; failure of utility services; or industrial action not involving the employees of the affected party.</w:t>
      </w:r>
    </w:p>
    <w:p>
      <w:pPr>
        <w:spacing w:after="80" w:before="0" w:line="276"/>
        <w:ind w:left="720"/>
        <w:jc w:val="both"/>
      </w:pPr>
      <w:r>
        <w:rPr>
          <w:rFonts w:ascii="Times New Roman" w:cs="Times New Roman" w:eastAsia="Times New Roman" w:hAnsi="Times New Roman"/>
          <w:b/>
          <w:bCs/>
          <w:i w:val="false"/>
          <w:iCs w:val="false"/>
          <w:sz w:val="22"/>
          <w:szCs w:val="22"/>
        </w:rPr>
        <w:t xml:space="preserve">“GST”</w:t>
      </w:r>
      <w:r>
        <w:rPr>
          <w:rFonts w:ascii="Times New Roman" w:cs="Times New Roman" w:eastAsia="Times New Roman" w:hAnsi="Times New Roman"/>
          <w:sz w:val="22"/>
          <w:szCs w:val="22"/>
        </w:rPr>
        <w:t xml:space="preserve"> means goods and services tax as defined in and chargeable under the Goods and Services Tax Act 1985.</w:t>
      </w:r>
    </w:p>
    <w:p>
      <w:pPr>
        <w:spacing w:after="80" w:before="0" w:line="276"/>
        <w:ind w:left="720"/>
        <w:jc w:val="both"/>
      </w:pPr>
      <w:r>
        <w:rPr>
          <w:rFonts w:ascii="Times New Roman" w:cs="Times New Roman" w:eastAsia="Times New Roman" w:hAnsi="Times New Roman"/>
          <w:b/>
          <w:bCs/>
          <w:i w:val="false"/>
          <w:iCs w:val="false"/>
          <w:sz w:val="22"/>
          <w:szCs w:val="22"/>
        </w:rPr>
        <w:t xml:space="preserve">“Intellectual Property”</w:t>
      </w:r>
      <w:r>
        <w:rPr>
          <w:rFonts w:ascii="Times New Roman" w:cs="Times New Roman" w:eastAsia="Times New Roman" w:hAnsi="Times New Roman"/>
          <w:sz w:val="22"/>
          <w:szCs w:val="22"/>
        </w:rPr>
        <w:t xml:space="preserve"> means all intellectual property rights of any kind, including patents, trade marks, copyright, designs, trade secrets and know-how, whether registered or unregistered, and all applications and rights to apply for any of the foregoing.</w:t>
      </w:r>
    </w:p>
    <w:p>
      <w:pPr>
        <w:spacing w:after="80" w:before="0" w:line="276"/>
        <w:ind w:left="720"/>
        <w:jc w:val="both"/>
      </w:pPr>
      <w:r>
        <w:rPr>
          <w:rFonts w:ascii="Times New Roman" w:cs="Times New Roman" w:eastAsia="Times New Roman" w:hAnsi="Times New Roman"/>
          <w:b/>
          <w:bCs/>
          <w:i w:val="false"/>
          <w:iCs w:val="false"/>
          <w:sz w:val="22"/>
          <w:szCs w:val="22"/>
        </w:rPr>
        <w:t xml:space="preserve">“Minimum Annual Target”</w:t>
      </w:r>
      <w:r>
        <w:rPr>
          <w:rFonts w:ascii="Times New Roman" w:cs="Times New Roman" w:eastAsia="Times New Roman" w:hAnsi="Times New Roman"/>
          <w:sz w:val="22"/>
          <w:szCs w:val="22"/>
        </w:rPr>
        <w:t xml:space="preserve"> means the minimum annual sales volume specified in clause 3.1(a), as reviewed from time to time in accordance with clause 3.1(b).</w:t>
      </w:r>
    </w:p>
    <w:p>
      <w:pPr>
        <w:spacing w:after="80" w:before="0" w:line="276"/>
        <w:ind w:left="720"/>
        <w:jc w:val="both"/>
      </w:pPr>
      <w:r>
        <w:rPr>
          <w:rFonts w:ascii="Times New Roman" w:cs="Times New Roman" w:eastAsia="Times New Roman" w:hAnsi="Times New Roman"/>
          <w:b/>
          <w:bCs/>
          <w:i w:val="false"/>
          <w:iCs w:val="false"/>
          <w:sz w:val="22"/>
          <w:szCs w:val="22"/>
        </w:rPr>
        <w:t xml:space="preserve">“Order”</w:t>
      </w:r>
      <w:r>
        <w:rPr>
          <w:rFonts w:ascii="Times New Roman" w:cs="Times New Roman" w:eastAsia="Times New Roman" w:hAnsi="Times New Roman"/>
          <w:sz w:val="22"/>
          <w:szCs w:val="22"/>
        </w:rPr>
        <w:t xml:space="preserve"> means a purchase order for Equipment submitted by the Broker in the form set out in Appendix D or such other form as may be agreed by the parties from time to time.</w:t>
      </w:r>
    </w:p>
    <w:p>
      <w:pPr>
        <w:spacing w:after="80" w:before="0" w:line="276"/>
        <w:ind w:left="720"/>
        <w:jc w:val="both"/>
      </w:pPr>
      <w:r>
        <w:rPr>
          <w:rFonts w:ascii="Times New Roman" w:cs="Times New Roman" w:eastAsia="Times New Roman" w:hAnsi="Times New Roman"/>
          <w:b/>
          <w:bCs/>
          <w:i w:val="false"/>
          <w:iCs w:val="false"/>
          <w:sz w:val="22"/>
          <w:szCs w:val="22"/>
        </w:rPr>
        <w:t xml:space="preserve">“PPSA”</w:t>
      </w:r>
      <w:r>
        <w:rPr>
          <w:rFonts w:ascii="Times New Roman" w:cs="Times New Roman" w:eastAsia="Times New Roman" w:hAnsi="Times New Roman"/>
          <w:sz w:val="22"/>
          <w:szCs w:val="22"/>
        </w:rPr>
        <w:t xml:space="preserve"> means the Personal Property Securities Act 1999.</w:t>
      </w:r>
    </w:p>
    <w:p>
      <w:pPr>
        <w:spacing w:after="80" w:before="0" w:line="276"/>
        <w:ind w:left="720"/>
        <w:jc w:val="both"/>
      </w:pPr>
      <w:r>
        <w:rPr>
          <w:rFonts w:ascii="Times New Roman" w:cs="Times New Roman" w:eastAsia="Times New Roman" w:hAnsi="Times New Roman"/>
          <w:b/>
          <w:bCs/>
          <w:i w:val="false"/>
          <w:iCs w:val="false"/>
          <w:sz w:val="22"/>
          <w:szCs w:val="22"/>
        </w:rPr>
        <w:t xml:space="preserve">“Price List”</w:t>
      </w:r>
      <w:r>
        <w:rPr>
          <w:rFonts w:ascii="Times New Roman" w:cs="Times New Roman" w:eastAsia="Times New Roman" w:hAnsi="Times New Roman"/>
          <w:sz w:val="22"/>
          <w:szCs w:val="22"/>
        </w:rPr>
        <w:t xml:space="preserve"> means the Supplier’s current schedule of Equipment prices denominated in New Zealand dollars, as notified to the Broker from time to time in accordance with clause 5.2.</w:t>
      </w:r>
    </w:p>
    <w:p>
      <w:pPr>
        <w:spacing w:after="80" w:before="0" w:line="276"/>
        <w:ind w:left="720"/>
        <w:jc w:val="both"/>
      </w:pPr>
      <w:r>
        <w:rPr>
          <w:rFonts w:ascii="Times New Roman" w:cs="Times New Roman" w:eastAsia="Times New Roman" w:hAnsi="Times New Roman"/>
          <w:b/>
          <w:bCs/>
          <w:i w:val="false"/>
          <w:iCs w:val="false"/>
          <w:sz w:val="22"/>
          <w:szCs w:val="22"/>
        </w:rPr>
        <w:t xml:space="preserve">“Territory”</w:t>
      </w:r>
      <w:r>
        <w:rPr>
          <w:rFonts w:ascii="Times New Roman" w:cs="Times New Roman" w:eastAsia="Times New Roman" w:hAnsi="Times New Roman"/>
          <w:sz w:val="22"/>
          <w:szCs w:val="22"/>
        </w:rPr>
        <w:t xml:space="preserve"> means New Zealand, including the North Island, South Island and Stewart Island/Rakiura, but excluding the Chatham Islands.</w:t>
      </w:r>
    </w:p>
    <w:p>
      <w:pPr>
        <w:pStyle w:val="Heading2"/>
        <w:spacing w:after="160" w:before="240"/>
      </w:pPr>
      <w:r>
        <w:rPr>
          <w:rFonts w:ascii="Times New Roman" w:cs="Times New Roman" w:eastAsia="Times New Roman" w:hAnsi="Times New Roman"/>
          <w:b/>
          <w:bCs/>
          <w:sz w:val="24"/>
          <w:szCs w:val="24"/>
        </w:rPr>
        <w:t xml:space="preserve">1.2	Interpretation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In this Agreement, unless the context otherwise requires: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a reference to a statute or statutory provision includes any subordinate legislation made under it, and any amendment, re-enactment or replacement of that statute or statutory provision from time to time;</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words importing the singular include the plural and vice versa;</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words importing one gender include all genders;</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a reference to a person includes a natural person, body corporate, partnership, joint venture, trust, unincorporated association or governmental authority;</w:t>
      </w:r>
    </w:p>
    <w:p>
      <w:pPr>
        <w:spacing w:after="100" w:line="276"/>
        <w:ind w:left="720" w:hanging="720"/>
        <w:jc w:val="both"/>
      </w:pPr>
      <w:r>
        <w:rPr>
          <w:rFonts w:ascii="Times New Roman" w:cs="Times New Roman" w:eastAsia="Times New Roman" w:hAnsi="Times New Roman"/>
          <w:b w:val="false"/>
          <w:bCs w:val="false"/>
          <w:sz w:val="22"/>
          <w:szCs w:val="22"/>
        </w:rPr>
        <w:t xml:space="preserve">(e)	</w:t>
      </w:r>
      <w:r>
        <w:rPr>
          <w:rFonts w:ascii="Times New Roman" w:cs="Times New Roman" w:eastAsia="Times New Roman" w:hAnsi="Times New Roman"/>
          <w:sz w:val="22"/>
          <w:szCs w:val="22"/>
        </w:rPr>
        <w:t xml:space="preserve">a reference to a clause or Appendix is a reference to a clause of, or Appendix to, this Agreement;</w:t>
      </w:r>
    </w:p>
    <w:p>
      <w:pPr>
        <w:spacing w:after="100" w:line="276"/>
        <w:ind w:left="720" w:hanging="720"/>
        <w:jc w:val="both"/>
      </w:pPr>
      <w:r>
        <w:rPr>
          <w:rFonts w:ascii="Times New Roman" w:cs="Times New Roman" w:eastAsia="Times New Roman" w:hAnsi="Times New Roman"/>
          <w:b w:val="false"/>
          <w:bCs w:val="false"/>
          <w:sz w:val="22"/>
          <w:szCs w:val="22"/>
        </w:rPr>
        <w:t xml:space="preserve">(f)	</w:t>
      </w:r>
      <w:r>
        <w:rPr>
          <w:rFonts w:ascii="Times New Roman" w:cs="Times New Roman" w:eastAsia="Times New Roman" w:hAnsi="Times New Roman"/>
          <w:sz w:val="22"/>
          <w:szCs w:val="22"/>
        </w:rPr>
        <w:t xml:space="preserve">headings are for convenience only and do not affect interpretation;</w:t>
      </w:r>
    </w:p>
    <w:p>
      <w:pPr>
        <w:spacing w:after="100" w:line="276"/>
        <w:ind w:left="720" w:hanging="720"/>
        <w:jc w:val="both"/>
      </w:pPr>
      <w:r>
        <w:rPr>
          <w:rFonts w:ascii="Times New Roman" w:cs="Times New Roman" w:eastAsia="Times New Roman" w:hAnsi="Times New Roman"/>
          <w:b w:val="false"/>
          <w:bCs w:val="false"/>
          <w:sz w:val="22"/>
          <w:szCs w:val="22"/>
        </w:rPr>
        <w:t xml:space="preserve">(g)	</w:t>
      </w:r>
      <w:r>
        <w:rPr>
          <w:rFonts w:ascii="Times New Roman" w:cs="Times New Roman" w:eastAsia="Times New Roman" w:hAnsi="Times New Roman"/>
          <w:sz w:val="22"/>
          <w:szCs w:val="22"/>
        </w:rPr>
        <w:t xml:space="preserve">where any word or phrase is defined, any other grammatical form of that word or phrase has a corresponding meaning;</w:t>
      </w:r>
    </w:p>
    <w:p>
      <w:pPr>
        <w:spacing w:after="100" w:line="276"/>
        <w:ind w:left="720" w:hanging="720"/>
        <w:jc w:val="both"/>
      </w:pPr>
      <w:r>
        <w:rPr>
          <w:rFonts w:ascii="Times New Roman" w:cs="Times New Roman" w:eastAsia="Times New Roman" w:hAnsi="Times New Roman"/>
          <w:b w:val="false"/>
          <w:bCs w:val="false"/>
          <w:sz w:val="22"/>
          <w:szCs w:val="22"/>
        </w:rPr>
        <w:t xml:space="preserve">(h)	</w:t>
      </w:r>
      <w:r>
        <w:rPr>
          <w:rFonts w:ascii="Times New Roman" w:cs="Times New Roman" w:eastAsia="Times New Roman" w:hAnsi="Times New Roman"/>
          <w:sz w:val="22"/>
          <w:szCs w:val="22"/>
        </w:rPr>
        <w:t xml:space="preserve">the words "include", "includes" and "including" are to be read as if followed by the phrase "without limitation"; and</w:t>
      </w:r>
    </w:p>
    <w:p>
      <w:pPr>
        <w:spacing w:after="100" w:line="276"/>
        <w:ind w:left="720" w:hanging="720"/>
        <w:jc w:val="both"/>
      </w:pPr>
      <w:r>
        <w:rPr>
          <w:rFonts w:ascii="Times New Roman" w:cs="Times New Roman" w:eastAsia="Times New Roman" w:hAnsi="Times New Roman"/>
          <w:b w:val="false"/>
          <w:bCs w:val="false"/>
          <w:sz w:val="22"/>
          <w:szCs w:val="22"/>
        </w:rPr>
        <w:t xml:space="preserve">(i)	</w:t>
      </w:r>
      <w:r>
        <w:rPr>
          <w:rFonts w:ascii="Times New Roman" w:cs="Times New Roman" w:eastAsia="Times New Roman" w:hAnsi="Times New Roman"/>
          <w:sz w:val="22"/>
          <w:szCs w:val="22"/>
        </w:rPr>
        <w:t xml:space="preserve">a reference to “writing” or “written” includes email but does not include text message or other instant messaging services.</w:t>
      </w:r>
    </w:p>
    <w:p>
      <w:pPr>
        <w:pStyle w:val="Heading1"/>
        <w:pageBreakBefore/>
        <w:spacing w:after="200" w:before="360"/>
      </w:pPr>
      <w:r>
        <w:rPr>
          <w:rFonts w:ascii="Times New Roman" w:cs="Times New Roman" w:eastAsia="Times New Roman" w:hAnsi="Times New Roman"/>
          <w:b/>
          <w:bCs/>
          <w:sz w:val="26"/>
          <w:szCs w:val="26"/>
        </w:rPr>
        <w:t xml:space="preserve">2.	APPOINTMENT AND SCOPE</w:t>
      </w:r>
    </w:p>
    <w:p>
      <w:pPr>
        <w:pStyle w:val="Heading2"/>
        <w:spacing w:after="160" w:before="240"/>
      </w:pPr>
      <w:r>
        <w:rPr>
          <w:rFonts w:ascii="Times New Roman" w:cs="Times New Roman" w:eastAsia="Times New Roman" w:hAnsi="Times New Roman"/>
          <w:b/>
          <w:bCs/>
          <w:sz w:val="24"/>
          <w:szCs w:val="24"/>
        </w:rPr>
        <w:t xml:space="preserve">2.1	Appointment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Subject to the terms and conditions of this Agreement, the Supplier appoints the Broker on a non-exclusive basis to market, promote and facilitate the sale of Equipment to End Customers within the Territory during the Term.</w:t>
      </w:r>
    </w:p>
    <w:p>
      <w:pPr>
        <w:pStyle w:val="Heading2"/>
        <w:spacing w:after="160" w:before="240"/>
      </w:pPr>
      <w:r>
        <w:rPr>
          <w:rFonts w:ascii="Times New Roman" w:cs="Times New Roman" w:eastAsia="Times New Roman" w:hAnsi="Times New Roman"/>
          <w:b/>
          <w:bCs/>
          <w:sz w:val="24"/>
          <w:szCs w:val="24"/>
        </w:rPr>
        <w:t xml:space="preserve">2.2	Scope of Equipment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Equipment to which this Agreement applies is limited to the product categories and models listed in Appendix A, as updated by the Supplier from time to time in accordance with clause 4.5. For the avoidance of doubt, the Broker’s appointment extends to attachments and genuine spare parts for the Equipment listed in Appendix A.</w:t>
      </w:r>
    </w:p>
    <w:p>
      <w:pPr>
        <w:pStyle w:val="Heading2"/>
        <w:spacing w:after="160" w:before="240"/>
      </w:pPr>
      <w:r>
        <w:rPr>
          <w:rFonts w:ascii="Times New Roman" w:cs="Times New Roman" w:eastAsia="Times New Roman" w:hAnsi="Times New Roman"/>
          <w:b/>
          <w:bCs/>
          <w:sz w:val="24"/>
          <w:szCs w:val="24"/>
        </w:rPr>
        <w:t xml:space="preserve">2.3	Independent Contractor</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acts as an independent contractor and not as the Supplier’s agent, employee, partner or joint venturer. The Broker has no authority to bind the Supplier contractually, and must not represent to any person that it has such authority. Nothing in this Agreement creates an agency, employment, partnership or joint venture relationship between the parties.</w:t>
      </w:r>
    </w:p>
    <w:p>
      <w:pPr>
        <w:pStyle w:val="Heading2"/>
        <w:spacing w:after="160" w:before="240"/>
      </w:pPr>
      <w:r>
        <w:rPr>
          <w:rFonts w:ascii="Times New Roman" w:cs="Times New Roman" w:eastAsia="Times New Roman" w:hAnsi="Times New Roman"/>
          <w:b/>
          <w:bCs/>
          <w:sz w:val="24"/>
          <w:szCs w:val="24"/>
        </w:rPr>
        <w:t xml:space="preserve">2.4	Excluded Accounts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Notwithstanding the Broker’s appointment under clause 2.1, the Supplier reserves the right to deal directly with any Excluded Account without any obligation to pay Commission to the Broker in respect of such dealings. The Supplier will provide the Broker with reasonable notice of any additions to or removals from Appendix B, and such amendments will take effect 20 Business Days after written notice to the Broker.</w:t>
      </w:r>
    </w:p>
    <w:p>
      <w:pPr>
        <w:pStyle w:val="Heading2"/>
        <w:spacing w:after="160" w:before="240"/>
      </w:pPr>
      <w:r>
        <w:rPr>
          <w:rFonts w:ascii="Times New Roman" w:cs="Times New Roman" w:eastAsia="Times New Roman" w:hAnsi="Times New Roman"/>
          <w:b/>
          <w:bCs/>
          <w:sz w:val="24"/>
          <w:szCs w:val="24"/>
        </w:rPr>
        <w:t xml:space="preserve">2.5	Direct Sales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retains the right to sell Equipment directly to End Customers who are not Excluded Accounts where the End Customer has approached the Supplier directly and without the involvement or introduction of the Broker. If a dispute arises as to whether the Broker was involved in or contributed to a particular sale, the matter will be resolved in accordance with clause 12.</w:t>
      </w:r>
    </w:p>
    <w:p>
      <w:pPr>
        <w:pStyle w:val="Heading1"/>
        <w:pageBreakBefore/>
        <w:spacing w:after="200" w:before="360"/>
      </w:pPr>
      <w:r>
        <w:rPr>
          <w:rFonts w:ascii="Times New Roman" w:cs="Times New Roman" w:eastAsia="Times New Roman" w:hAnsi="Times New Roman"/>
          <w:b/>
          <w:bCs/>
          <w:sz w:val="26"/>
          <w:szCs w:val="26"/>
        </w:rPr>
        <w:t xml:space="preserve">3.	BROKER OBLIGATIONS</w:t>
      </w:r>
    </w:p>
    <w:p>
      <w:pPr>
        <w:pStyle w:val="Heading2"/>
        <w:spacing w:after="160" w:before="240"/>
      </w:pPr>
      <w:r>
        <w:rPr>
          <w:rFonts w:ascii="Times New Roman" w:cs="Times New Roman" w:eastAsia="Times New Roman" w:hAnsi="Times New Roman"/>
          <w:b/>
          <w:bCs/>
          <w:sz w:val="24"/>
          <w:szCs w:val="24"/>
        </w:rPr>
        <w:t xml:space="preserve">3.1	Sales Targets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use its best endeavours to achieve a minimum aggregate sales volume of NZ$2,000,000 (excluding GST) per annum of Equipment sales facilitated by the Broker within the Territory (the Minimum Annual Target).</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Minimum Annual Target will be reviewed by the parties in good faith no later than 60 Business Days prior to each anniversary of the Commencement Date, having regard to prevailing market conditions, the New Zealand construction sector outlook, and the Broker’s sales performance in the preceding 12-month period.</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Failure by the Broker to achieve the Minimum Annual Target in any two consecutive 12-month periods will entitle the Supplier to terminate this Agreement in accordance with clause 11.3(a), provided the Supplier has given the Broker written notice of its concerns and a reasonable opportunity to present a remediation plan.</w:t>
      </w:r>
    </w:p>
    <w:p>
      <w:pPr>
        <w:pStyle w:val="Heading2"/>
        <w:spacing w:after="160" w:before="240"/>
      </w:pPr>
      <w:r>
        <w:rPr>
          <w:rFonts w:ascii="Times New Roman" w:cs="Times New Roman" w:eastAsia="Times New Roman" w:hAnsi="Times New Roman"/>
          <w:b/>
          <w:bCs/>
          <w:sz w:val="24"/>
          <w:szCs w:val="24"/>
        </w:rPr>
        <w:t xml:space="preserve">3.2	Marketing and Promotion</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actively market and promote the Equipment throughout the Territory using only Approved Marketing Materials or materials created by the Broker and approved in advance by the Supplier in writing.</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Broker will maintain a commercially reasonable presence at major industry trade events within the Territory, including (where practicable) the National Fieldays at Mystery Creek, Hamilton and the BuildNZ exhibition.</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Broker will maintain a professional website and digital marketing presence that accurately represents the Equipment and the Supplier’s brand in accordance with Appendix E.</w:t>
      </w:r>
    </w:p>
    <w:p>
      <w:pPr>
        <w:pStyle w:val="Heading2"/>
        <w:spacing w:after="160" w:before="240"/>
      </w:pPr>
      <w:r>
        <w:rPr>
          <w:rFonts w:ascii="Times New Roman" w:cs="Times New Roman" w:eastAsia="Times New Roman" w:hAnsi="Times New Roman"/>
          <w:b/>
          <w:bCs/>
          <w:sz w:val="24"/>
          <w:szCs w:val="24"/>
        </w:rPr>
        <w:t xml:space="preserve">3.3	Sales Personnel</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will employ or engage a team of suitably qualified and experienced sales personnel with adequate knowledge of heavy construction equipment to competently advise End Customers on Equipment selection, technical capabilities and applications.</w:t>
      </w:r>
    </w:p>
    <w:p>
      <w:pPr>
        <w:pStyle w:val="Heading2"/>
        <w:spacing w:after="160" w:before="240"/>
      </w:pPr>
      <w:r>
        <w:rPr>
          <w:rFonts w:ascii="Times New Roman" w:cs="Times New Roman" w:eastAsia="Times New Roman" w:hAnsi="Times New Roman"/>
          <w:b/>
          <w:bCs/>
          <w:sz w:val="24"/>
          <w:szCs w:val="24"/>
        </w:rPr>
        <w:t xml:space="preserve">3.4	Demonstration Equipment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Where the Supplier provides Demonstration Equipment under clause 4.3, the Broker will maintain such Demonstration Equipment in clean, safe, and operational condition, store it securely, insure it comprehensively for its full replacement value, and make it available for inspection by the Supplier upon reasonable notice.</w:t>
      </w:r>
    </w:p>
    <w:p>
      <w:pPr>
        <w:pStyle w:val="Heading2"/>
        <w:spacing w:after="160" w:before="240"/>
      </w:pPr>
      <w:r>
        <w:rPr>
          <w:rFonts w:ascii="Times New Roman" w:cs="Times New Roman" w:eastAsia="Times New Roman" w:hAnsi="Times New Roman"/>
          <w:b/>
          <w:bCs/>
          <w:sz w:val="24"/>
          <w:szCs w:val="24"/>
        </w:rPr>
        <w:t xml:space="preserve">3.5	Reporting</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provide the Supplier with a monthly sales pipeline report, in a form reasonably specified by the Supplier, by the 10th Business Day of each calendar month in respect of the preceding calendar month.</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Broker will provide the Supplier with a quarterly sales performance report, including actual sales volumes and Commission earned, within 20 Business Days of the end of each calendar quarter.</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Broker will promptly notify the Supplier of any material market intelligence, competitor activity, or End Customer feedback that may reasonably be relevant to the Supplier’s business.</w:t>
      </w:r>
    </w:p>
    <w:p>
      <w:pPr>
        <w:pStyle w:val="Heading2"/>
        <w:spacing w:after="160" w:before="240"/>
      </w:pPr>
      <w:r>
        <w:rPr>
          <w:rFonts w:ascii="Times New Roman" w:cs="Times New Roman" w:eastAsia="Times New Roman" w:hAnsi="Times New Roman"/>
          <w:b/>
          <w:bCs/>
          <w:sz w:val="24"/>
          <w:szCs w:val="24"/>
        </w:rPr>
        <w:t xml:space="preserve">3.6	Compliance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will at all times comply with all applicable laws, regulations and industry codes of practice, including without limitation the Fair Trading Act 1986 and the Consumer Guarantees Act 1993 (to the extent applicable). The Broker will not make any representations or warranties to End Customers in relation to the Equipment that are inconsistent with the Supplier’s published technical specifications or the terms of this Agreement.</w:t>
      </w:r>
    </w:p>
    <w:p>
      <w:pPr>
        <w:pStyle w:val="Heading1"/>
        <w:pageBreakBefore/>
        <w:spacing w:after="200" w:before="360"/>
      </w:pPr>
      <w:r>
        <w:rPr>
          <w:rFonts w:ascii="Times New Roman" w:cs="Times New Roman" w:eastAsia="Times New Roman" w:hAnsi="Times New Roman"/>
          <w:b/>
          <w:bCs/>
          <w:sz w:val="26"/>
          <w:szCs w:val="26"/>
        </w:rPr>
        <w:t xml:space="preserve">4.	SUPPLIER OBLIGATIONS</w:t>
      </w:r>
    </w:p>
    <w:p>
      <w:pPr>
        <w:pStyle w:val="Heading2"/>
        <w:spacing w:after="160" w:before="240"/>
      </w:pPr>
      <w:r>
        <w:rPr>
          <w:rFonts w:ascii="Times New Roman" w:cs="Times New Roman" w:eastAsia="Times New Roman" w:hAnsi="Times New Roman"/>
          <w:b/>
          <w:bCs/>
          <w:sz w:val="24"/>
          <w:szCs w:val="24"/>
        </w:rPr>
        <w:t xml:space="preserve">4.1	Product Information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provide the Broker with current and accurate technical specifications, product literature, user manuals, and safety information for all Equipment listed in Appendix A. The Supplier will notify the Broker of any material changes to Equipment specifications within 10 Business Days of such changes being confirmed.</w:t>
      </w:r>
    </w:p>
    <w:p>
      <w:pPr>
        <w:pStyle w:val="Heading2"/>
        <w:spacing w:after="160" w:before="240"/>
      </w:pPr>
      <w:r>
        <w:rPr>
          <w:rFonts w:ascii="Times New Roman" w:cs="Times New Roman" w:eastAsia="Times New Roman" w:hAnsi="Times New Roman"/>
          <w:b/>
          <w:bCs/>
          <w:sz w:val="24"/>
          <w:szCs w:val="24"/>
        </w:rPr>
        <w:t xml:space="preserve">4.2	Training</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provide the Broker’s sales personnel with initial product training and ongoing training on new Equipment models or significant model updates at no charge to the Broker. Training will be conducted at the Supplier’s premises in Hamilton or at such other location as the parties may agree, and the Supplier will conduct at least one training session per calendar year.</w:t>
      </w:r>
    </w:p>
    <w:p>
      <w:pPr>
        <w:pStyle w:val="Heading2"/>
        <w:spacing w:after="160" w:before="240"/>
      </w:pPr>
      <w:r>
        <w:rPr>
          <w:rFonts w:ascii="Times New Roman" w:cs="Times New Roman" w:eastAsia="Times New Roman" w:hAnsi="Times New Roman"/>
          <w:b/>
          <w:bCs/>
          <w:sz w:val="24"/>
          <w:szCs w:val="24"/>
        </w:rPr>
        <w:t xml:space="preserve">4.3	Demonstration Equipment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at its discretion, make available Demonstration Equipment on consignment terms to the Broker for the purposes of demonstrating Equipment to prospective End Customers. Title and risk in Demonstration Equipment will remain with the Supplier at all times. The Supplier may recall Demonstration Equipment upon 15 Business Days’ written notice to the Broker.</w:t>
      </w:r>
    </w:p>
    <w:p>
      <w:pPr>
        <w:pStyle w:val="Heading2"/>
        <w:spacing w:after="160" w:before="240"/>
      </w:pPr>
      <w:r>
        <w:rPr>
          <w:rFonts w:ascii="Times New Roman" w:cs="Times New Roman" w:eastAsia="Times New Roman" w:hAnsi="Times New Roman"/>
          <w:b/>
          <w:bCs/>
          <w:sz w:val="24"/>
          <w:szCs w:val="24"/>
        </w:rPr>
        <w:t xml:space="preserve">4.4	Warranty Support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honour all warranty claims made in accordance with clause 8 and will use reasonable endeavours to process warranty claims within 15 Business Days of receiving a complete warranty claim submission from the Broker or an End Customer.</w:t>
      </w:r>
    </w:p>
    <w:p>
      <w:pPr>
        <w:pStyle w:val="Heading2"/>
        <w:spacing w:after="160" w:before="240"/>
      </w:pPr>
      <w:r>
        <w:rPr>
          <w:rFonts w:ascii="Times New Roman" w:cs="Times New Roman" w:eastAsia="Times New Roman" w:hAnsi="Times New Roman"/>
          <w:b/>
          <w:bCs/>
          <w:sz w:val="24"/>
          <w:szCs w:val="24"/>
        </w:rPr>
        <w:t xml:space="preserve">4.5	Product Updates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may from time to time update Appendix A by adding new Equipment models, discontinuing existing models, or amending specifications or pricing. The Supplier will provide the Broker with not less than 60 Business Days’ written notice of any material changes to Appendix A, including any price increases exceeding 5% of the then-current Price List.</w:t>
      </w:r>
    </w:p>
    <w:p>
      <w:pPr>
        <w:pStyle w:val="Heading2"/>
        <w:spacing w:after="160" w:before="240"/>
      </w:pPr>
      <w:r>
        <w:rPr>
          <w:rFonts w:ascii="Times New Roman" w:cs="Times New Roman" w:eastAsia="Times New Roman" w:hAnsi="Times New Roman"/>
          <w:b/>
          <w:bCs/>
          <w:sz w:val="24"/>
          <w:szCs w:val="24"/>
        </w:rPr>
        <w:t xml:space="preserve">4.6	Lead Times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use reasonable endeavours to fulfil accepted Orders within the lead times specified at the time of Order acceptance. Where the Supplier anticipates a delay in excess of 10 Business Days beyond the original estimated delivery date, it will notify the Broker as soon as practicable and provide a revised estimated delivery date.</w:t>
      </w:r>
    </w:p>
    <w:p>
      <w:pPr>
        <w:pStyle w:val="Heading1"/>
        <w:pageBreakBefore/>
        <w:spacing w:after="200" w:before="360"/>
      </w:pPr>
      <w:r>
        <w:rPr>
          <w:rFonts w:ascii="Times New Roman" w:cs="Times New Roman" w:eastAsia="Times New Roman" w:hAnsi="Times New Roman"/>
          <w:b/>
          <w:bCs/>
          <w:sz w:val="26"/>
          <w:szCs w:val="26"/>
        </w:rPr>
        <w:t xml:space="preserve">5.	ORDERS, PRICING AND PAYMENT</w:t>
      </w:r>
    </w:p>
    <w:p>
      <w:pPr>
        <w:pStyle w:val="Heading2"/>
        <w:spacing w:after="160" w:before="240"/>
      </w:pPr>
      <w:r>
        <w:rPr>
          <w:rFonts w:ascii="Times New Roman" w:cs="Times New Roman" w:eastAsia="Times New Roman" w:hAnsi="Times New Roman"/>
          <w:b/>
          <w:bCs/>
          <w:sz w:val="24"/>
          <w:szCs w:val="24"/>
        </w:rPr>
        <w:t xml:space="preserve">5.1	Order Process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submit Orders in writing using the form set out in Appendix D, or such other form as the Supplier may reasonably require.</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Each Order will constitute an offer by the Broker to purchase Equipment on behalf of the End Customer and will not be binding on the Supplier until accepted by the Supplier in writing (including by email).</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Supplier will use reasonable endeavours to accept or reject each Order within 5 Business Days of receipt. If the Supplier rejects an Order, it will provide the Broker with written reasons for the rejection.</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Where an item of Equipment specified in an Order is temporarily unavailable, the Supplier may offer the Broker a back-order, with an estimated delivery date, which the Broker may accept or decline within 5 Business Days.</w:t>
      </w:r>
    </w:p>
    <w:p>
      <w:pPr>
        <w:pStyle w:val="Heading2"/>
        <w:spacing w:after="160" w:before="240"/>
      </w:pPr>
      <w:r>
        <w:rPr>
          <w:rFonts w:ascii="Times New Roman" w:cs="Times New Roman" w:eastAsia="Times New Roman" w:hAnsi="Times New Roman"/>
          <w:b/>
          <w:bCs/>
          <w:sz w:val="24"/>
          <w:szCs w:val="24"/>
        </w:rPr>
        <w:t xml:space="preserve">5.2	Pricing</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Equipment will be priced in accordance with the Price List current at the date of Order acceptance. All prices are stated in New Zealand dollars and are exclusive of GST and freight.</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Prices are quoted on an ex-works basis from the Supplier’s Hamilton facility unless otherwise agreed in writing.</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Supplier may amend the Price List from time to time by giving not less than 60 Business Days’ written notice to the Broker. Price amendments will not apply to Orders accepted before the effective date of the amendment.</w:t>
      </w:r>
    </w:p>
    <w:p>
      <w:pPr>
        <w:pStyle w:val="Heading2"/>
        <w:spacing w:after="160" w:before="240"/>
      </w:pPr>
      <w:r>
        <w:rPr>
          <w:rFonts w:ascii="Times New Roman" w:cs="Times New Roman" w:eastAsia="Times New Roman" w:hAnsi="Times New Roman"/>
          <w:b/>
          <w:bCs/>
          <w:sz w:val="24"/>
          <w:szCs w:val="24"/>
        </w:rPr>
        <w:t xml:space="preserve">5.3	Payment Terms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Supplier will issue an invoice to the Broker upon dispatch of Equipment. The Broker will pay each invoice by the 20th of the month following the month in which the invoice is dated, or within 30 days of the invoice date, whichever is later.</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For individual Orders with a total value (excluding GST) exceeding NZ$500,000, the Supplier may require progress payments as follows: 30% upon Order acceptance; 40% upon notification that the Equipment is ready for dispatch; and the balance of 30% upon delivery.</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All payments must be made by direct credit to the Supplier’s nominated New Zealand bank account.</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The Supplier reserves the right to charge interest on overdue amounts at the rate of 1.5% per month, compounding monthly, calculated from the due date until the date of payment. This rate is in addition to, and does not limit, any other rights or remedies available to the Supplier.</w:t>
      </w:r>
    </w:p>
    <w:p>
      <w:pPr>
        <w:pStyle w:val="Heading2"/>
        <w:spacing w:after="160" w:before="240"/>
      </w:pPr>
      <w:r>
        <w:rPr>
          <w:rFonts w:ascii="Times New Roman" w:cs="Times New Roman" w:eastAsia="Times New Roman" w:hAnsi="Times New Roman"/>
          <w:b/>
          <w:bCs/>
          <w:sz w:val="24"/>
          <w:szCs w:val="24"/>
        </w:rPr>
        <w:t xml:space="preserve">5.4	Retention of Title</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Notwithstanding delivery, legal and equitable title to Equipment supplied under this Agreement will remain with the Supplier until the Supplier has received payment in full (in cleared funds) for that Equipment and all other amounts owing by the Broker to the Supplier.</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Broker acknowledges that this clause creates a security interest in the Equipment for the purposes of the PPSA, and the Broker consents to the Supplier registering a financing statement on the Personal Property Securities Register in respect of that security interest.</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Broker will do all things and execute all documents necessary to enable the Supplier to register and maintain a perfected security interest in the Equipment under the PPSA.</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To the extent permitted by law, the Broker waives any right it may have under sections 114(1)(a), 116, 120(2), 121, 125, 129, 131 and 148 of the PPSA.</w:t>
      </w:r>
    </w:p>
    <w:p>
      <w:pPr>
        <w:pStyle w:val="Heading1"/>
        <w:pageBreakBefore/>
        <w:spacing w:after="200" w:before="360"/>
      </w:pPr>
      <w:r>
        <w:rPr>
          <w:rFonts w:ascii="Times New Roman" w:cs="Times New Roman" w:eastAsia="Times New Roman" w:hAnsi="Times New Roman"/>
          <w:b/>
          <w:bCs/>
          <w:sz w:val="26"/>
          <w:szCs w:val="26"/>
        </w:rPr>
        <w:t xml:space="preserve">6.	COMMISSION AND REMUNERATION</w:t>
      </w:r>
    </w:p>
    <w:p>
      <w:pPr>
        <w:pStyle w:val="Heading2"/>
        <w:spacing w:after="160" w:before="240"/>
      </w:pPr>
      <w:r>
        <w:rPr>
          <w:rFonts w:ascii="Times New Roman" w:cs="Times New Roman" w:eastAsia="Times New Roman" w:hAnsi="Times New Roman"/>
          <w:b/>
          <w:bCs/>
          <w:sz w:val="24"/>
          <w:szCs w:val="24"/>
        </w:rPr>
        <w:t xml:space="preserve">6.1	Commission Rates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pay Commission to the Broker on all Equipment sales facilitated by the Broker in accordance with the tiered commission structure set out in Appendix C. For the purposes of calculating Commission, the applicable tier is determined by reference to the aggregate net sales value (excluding GST and freight) of Equipment sold through the Broker in the relevant 12-month period commencing on the Commencement Date or each anniversary thereof.</w:t>
      </w:r>
    </w:p>
    <w:p>
      <w:pPr>
        <w:pStyle w:val="Heading2"/>
        <w:spacing w:after="160" w:before="240"/>
      </w:pPr>
      <w:r>
        <w:rPr>
          <w:rFonts w:ascii="Times New Roman" w:cs="Times New Roman" w:eastAsia="Times New Roman" w:hAnsi="Times New Roman"/>
          <w:b/>
          <w:bCs/>
          <w:sz w:val="24"/>
          <w:szCs w:val="24"/>
        </w:rPr>
        <w:t xml:space="preserve">6.2	Commission Payment</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Commission becomes payable upon the Supplier’s receipt of cleared funds from the relevant End Customer or, where the Broker has paid the Supplier directly, upon receipt of cleared funds from the Broker.</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Supplier will calculate Commission monthly and provide the Broker with a Commission statement by the 15th Business Day of each calendar month in respect of the preceding month.</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Supplier will pay Commission within 10 Business Days of providing the Commission statement, by direct credit to the Broker’s nominated bank account.</w:t>
      </w:r>
    </w:p>
    <w:p>
      <w:pPr>
        <w:pStyle w:val="Heading2"/>
        <w:spacing w:after="160" w:before="240"/>
      </w:pPr>
      <w:r>
        <w:rPr>
          <w:rFonts w:ascii="Times New Roman" w:cs="Times New Roman" w:eastAsia="Times New Roman" w:hAnsi="Times New Roman"/>
          <w:b/>
          <w:bCs/>
          <w:sz w:val="24"/>
          <w:szCs w:val="24"/>
        </w:rPr>
        <w:t xml:space="preserve">6.3	Commission Clawback</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If an End Customer defaults on payment to the Supplier within 90 days of the date on which Commission was paid to the Broker in respect of that sale, the Supplier may recover from the Broker the full amount of Commission paid in respect of that sale by way of set-off against future Commission payments or, if insufficient future Commission payments are available, by issuing a debit note payable within 20 Business Days.</w:t>
      </w:r>
    </w:p>
    <w:p>
      <w:pPr>
        <w:pStyle w:val="Heading2"/>
        <w:spacing w:after="160" w:before="240"/>
      </w:pPr>
      <w:r>
        <w:rPr>
          <w:rFonts w:ascii="Times New Roman" w:cs="Times New Roman" w:eastAsia="Times New Roman" w:hAnsi="Times New Roman"/>
          <w:b/>
          <w:bCs/>
          <w:sz w:val="24"/>
          <w:szCs w:val="24"/>
        </w:rPr>
        <w:t xml:space="preserve">6.4	GST on Commission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will issue a tax invoice to the Supplier in respect of each Commission payment. Commission amounts stated in this Agreement and in Appendix C are exclusive of GST, which will be added at the prevailing rate in accordance with the Goods and Services Tax Act 1985.</w:t>
      </w:r>
    </w:p>
    <w:p>
      <w:pPr>
        <w:pStyle w:val="Heading1"/>
        <w:pageBreakBefore/>
        <w:spacing w:after="200" w:before="360"/>
      </w:pPr>
      <w:r>
        <w:rPr>
          <w:rFonts w:ascii="Times New Roman" w:cs="Times New Roman" w:eastAsia="Times New Roman" w:hAnsi="Times New Roman"/>
          <w:b/>
          <w:bCs/>
          <w:sz w:val="26"/>
          <w:szCs w:val="26"/>
        </w:rPr>
        <w:t xml:space="preserve">7.	DELIVERY, RISK AND TITLE</w:t>
      </w:r>
    </w:p>
    <w:p>
      <w:pPr>
        <w:pStyle w:val="Heading2"/>
        <w:spacing w:after="160" w:before="240"/>
      </w:pPr>
      <w:r>
        <w:rPr>
          <w:rFonts w:ascii="Times New Roman" w:cs="Times New Roman" w:eastAsia="Times New Roman" w:hAnsi="Times New Roman"/>
          <w:b/>
          <w:bCs/>
          <w:sz w:val="24"/>
          <w:szCs w:val="24"/>
        </w:rPr>
        <w:t xml:space="preserve">7.1	Delivery</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Unless otherwise agreed in writing, Equipment will be made available for collection by the Broker or its nominated carrier on an ex-works basis from the Supplier’s Hamilton facility.</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Where the parties agree to delivery to the End Customer’s site, the Supplier will arrange freight and the Broker or End Customer (as the case may be) will bear the freight costs.</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Supplier will provide the Broker with reasonable notice of the availability of Equipment for collection or dispatch.</w:t>
      </w:r>
    </w:p>
    <w:p>
      <w:pPr>
        <w:pStyle w:val="Heading2"/>
        <w:spacing w:after="160" w:before="240"/>
      </w:pPr>
      <w:r>
        <w:rPr>
          <w:rFonts w:ascii="Times New Roman" w:cs="Times New Roman" w:eastAsia="Times New Roman" w:hAnsi="Times New Roman"/>
          <w:b/>
          <w:bCs/>
          <w:sz w:val="24"/>
          <w:szCs w:val="24"/>
        </w:rPr>
        <w:t xml:space="preserve">7.2	Risk</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Risk in Equipment passes to the Broker upon delivery in accordance with clause 7.1. Where delivery is on an ex-works basis, risk passes at the point the Equipment leaves the Supplier’s premises. Where delivery is to the End Customer’s site, risk passes to the Broker at the point the Equipment is loaded onto the carrier’s vehicle at the Supplier’s premises.</w:t>
      </w:r>
    </w:p>
    <w:p>
      <w:pPr>
        <w:pStyle w:val="Heading2"/>
        <w:spacing w:after="160" w:before="240"/>
      </w:pPr>
      <w:r>
        <w:rPr>
          <w:rFonts w:ascii="Times New Roman" w:cs="Times New Roman" w:eastAsia="Times New Roman" w:hAnsi="Times New Roman"/>
          <w:b/>
          <w:bCs/>
          <w:sz w:val="24"/>
          <w:szCs w:val="24"/>
        </w:rPr>
        <w:t xml:space="preserve">7.3	Title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Title to Equipment will pass in accordance with clause 5.4 (Retention of Title). For the avoidance of doubt, title does not pass to the Broker or the End Customer until the Supplier has received payment in full for the Equipment.</w:t>
      </w:r>
    </w:p>
    <w:p>
      <w:pPr>
        <w:pStyle w:val="Heading1"/>
        <w:pageBreakBefore/>
        <w:spacing w:after="200" w:before="360"/>
      </w:pPr>
      <w:r>
        <w:rPr>
          <w:rFonts w:ascii="Times New Roman" w:cs="Times New Roman" w:eastAsia="Times New Roman" w:hAnsi="Times New Roman"/>
          <w:b/>
          <w:bCs/>
          <w:sz w:val="26"/>
          <w:szCs w:val="26"/>
        </w:rPr>
        <w:t xml:space="preserve">8.	WARRANTIES AND LIABILITY</w:t>
      </w:r>
    </w:p>
    <w:p>
      <w:pPr>
        <w:pStyle w:val="Heading2"/>
        <w:spacing w:after="160" w:before="240"/>
      </w:pPr>
      <w:r>
        <w:rPr>
          <w:rFonts w:ascii="Times New Roman" w:cs="Times New Roman" w:eastAsia="Times New Roman" w:hAnsi="Times New Roman"/>
          <w:b/>
          <w:bCs/>
          <w:sz w:val="24"/>
          <w:szCs w:val="24"/>
        </w:rPr>
        <w:t xml:space="preserve">8.1	Supplier’s Warranty</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Supplier warrants that Equipment supplied under this Agreement will be free from defects in materials and workmanship for a period of 12 months from the date of delivery to the End Customer or 2,000 operating hours, whichever occurs first (the Warranty Period).</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Supplier’s sole obligation under this warranty is, at the Supplier’s option, to repair or replace defective Equipment or components, or to refund the purchase price of the defective Equipment.</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This warranty does not apply to defects caused by normal wear and tear, misuse, negligence, accident, modification without the Supplier’s written consent, failure to follow the Supplier’s maintenance recommendations, or use of non-genuine parts.</w:t>
      </w:r>
    </w:p>
    <w:p>
      <w:pPr>
        <w:pStyle w:val="Heading2"/>
        <w:spacing w:after="160" w:before="240"/>
      </w:pPr>
      <w:r>
        <w:rPr>
          <w:rFonts w:ascii="Times New Roman" w:cs="Times New Roman" w:eastAsia="Times New Roman" w:hAnsi="Times New Roman"/>
          <w:b/>
          <w:bCs/>
          <w:sz w:val="24"/>
          <w:szCs w:val="24"/>
        </w:rPr>
        <w:t xml:space="preserve">8.2	Exclusion of Implied Terms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To the maximum extent permitted by law, all warranties, conditions, guarantees, and terms implied by statute (including without limitation the Contract and Commercial Law Act 2017), common law, custom or usage are excluded from this Agreement. Nothing in this clause limits or excludes any rights that an End Customer may have under the Consumer Guarantees Act 1993 where that End Customer acquires Equipment as a consumer (as defined in that Act).</w:t>
      </w:r>
    </w:p>
    <w:p>
      <w:pPr>
        <w:pStyle w:val="Heading2"/>
        <w:spacing w:after="160" w:before="240"/>
      </w:pPr>
      <w:r>
        <w:rPr>
          <w:rFonts w:ascii="Times New Roman" w:cs="Times New Roman" w:eastAsia="Times New Roman" w:hAnsi="Times New Roman"/>
          <w:b/>
          <w:bCs/>
          <w:sz w:val="24"/>
          <w:szCs w:val="24"/>
        </w:rPr>
        <w:t xml:space="preserve">8.3	Limitation of Liability</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Subject to clause 8.2, the Supplier’s maximum aggregate liability to the Broker arising out of or in connection with this Agreement (whether in contract, tort, equity or otherwise) will not exceed the total price paid by the Broker to the Supplier for the item of Equipment giving rise to the claim.</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Neither party will be liable to the other for any indirect, consequential, special or incidental loss or damage, including loss of profits, loss of revenue, loss of production, loss of business opportunity, loss of goodwill or reputational damage, however caused, whether in contract, tort, equity or otherwise.</w:t>
      </w:r>
    </w:p>
    <w:p>
      <w:pPr>
        <w:pStyle w:val="Heading2"/>
        <w:spacing w:after="160" w:before="240"/>
      </w:pPr>
      <w:r>
        <w:rPr>
          <w:rFonts w:ascii="Times New Roman" w:cs="Times New Roman" w:eastAsia="Times New Roman" w:hAnsi="Times New Roman"/>
          <w:b/>
          <w:bCs/>
          <w:sz w:val="24"/>
          <w:szCs w:val="24"/>
        </w:rPr>
        <w:t xml:space="preserve">8.4	Broker Indemnity</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indemnifies the Supplier against all claims, losses, damages, costs and expenses (including legal costs on a solicitor-own-client basis) arising from or in connection with any representation, warranty or statement made by the Broker to an End Customer in relation to the Equipment that is inconsistent with the Supplier’s published technical specifications or the Approved Marketing Materials.</w:t>
      </w:r>
    </w:p>
    <w:p>
      <w:pPr>
        <w:pStyle w:val="Heading1"/>
        <w:pageBreakBefore/>
        <w:spacing w:after="200" w:before="360"/>
      </w:pPr>
      <w:r>
        <w:rPr>
          <w:rFonts w:ascii="Times New Roman" w:cs="Times New Roman" w:eastAsia="Times New Roman" w:hAnsi="Times New Roman"/>
          <w:b/>
          <w:bCs/>
          <w:sz w:val="26"/>
          <w:szCs w:val="26"/>
        </w:rPr>
        <w:t xml:space="preserve">9.	INTELLECTUAL PROPERTY</w:t>
      </w:r>
    </w:p>
    <w:p>
      <w:pPr>
        <w:pStyle w:val="Heading2"/>
        <w:spacing w:after="160" w:before="240"/>
      </w:pPr>
      <w:r>
        <w:rPr>
          <w:rFonts w:ascii="Times New Roman" w:cs="Times New Roman" w:eastAsia="Times New Roman" w:hAnsi="Times New Roman"/>
          <w:b/>
          <w:bCs/>
          <w:sz w:val="24"/>
          <w:szCs w:val="24"/>
        </w:rPr>
        <w:t xml:space="preserve">9.1	Licence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grants to the Broker a non-exclusive, non-transferable, revocable licence to use the Supplier’s trade marks, logos and brand identifiers solely for the purpose of marketing and promoting the Equipment in accordance with this Agreement and Appendix E. The Broker acknowledges that this licence does not confer any proprietary interest in the Supplier’s Intellectual Property.</w:t>
      </w:r>
    </w:p>
    <w:p>
      <w:pPr>
        <w:pStyle w:val="Heading2"/>
        <w:spacing w:after="160" w:before="240"/>
      </w:pPr>
      <w:r>
        <w:rPr>
          <w:rFonts w:ascii="Times New Roman" w:cs="Times New Roman" w:eastAsia="Times New Roman" w:hAnsi="Times New Roman"/>
          <w:b/>
          <w:bCs/>
          <w:sz w:val="24"/>
          <w:szCs w:val="24"/>
        </w:rPr>
        <w:t xml:space="preserve">9.2	Restrictions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not modify, alter or adapt the Supplier’s trade marks, logos or brand identifiers without the Supplier’s prior written consent.</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Broker will not use the Supplier’s Intellectual Property in any manner that is, or could reasonably be considered to be, detrimental to the Supplier’s reputation or brand.</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Broker will not register or attempt to register any trade mark, company name or domain name that incorporates or is confusingly similar to any of the Supplier’s trade marks or brand identifiers.</w:t>
      </w:r>
    </w:p>
    <w:p>
      <w:pPr>
        <w:pStyle w:val="Heading2"/>
        <w:spacing w:after="160" w:before="240"/>
      </w:pPr>
      <w:r>
        <w:rPr>
          <w:rFonts w:ascii="Times New Roman" w:cs="Times New Roman" w:eastAsia="Times New Roman" w:hAnsi="Times New Roman"/>
          <w:b/>
          <w:bCs/>
          <w:sz w:val="24"/>
          <w:szCs w:val="24"/>
        </w:rPr>
        <w:t xml:space="preserve">9.3	Cessation on Termination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Upon termination or expiry of this Agreement for any reason, the Broker will immediately cease all use of the Supplier’s Intellectual Property and will, within 20 Business Days, return or destroy all materials bearing the Supplier’s trade marks, logos or brand identifiers (other than materials required to be retained by law or for warranty support purposes).</w:t>
      </w:r>
    </w:p>
    <w:p>
      <w:pPr>
        <w:pStyle w:val="Heading1"/>
        <w:pageBreakBefore/>
        <w:spacing w:after="200" w:before="360"/>
      </w:pPr>
      <w:r>
        <w:rPr>
          <w:rFonts w:ascii="Times New Roman" w:cs="Times New Roman" w:eastAsia="Times New Roman" w:hAnsi="Times New Roman"/>
          <w:b/>
          <w:bCs/>
          <w:sz w:val="26"/>
          <w:szCs w:val="26"/>
        </w:rPr>
        <w:t xml:space="preserve">10.	CONFIDENTIALITY</w:t>
      </w:r>
    </w:p>
    <w:p>
      <w:pPr>
        <w:pStyle w:val="Heading2"/>
        <w:spacing w:after="160" w:before="240"/>
      </w:pPr>
      <w:r>
        <w:rPr>
          <w:rFonts w:ascii="Times New Roman" w:cs="Times New Roman" w:eastAsia="Times New Roman" w:hAnsi="Times New Roman"/>
          <w:b/>
          <w:bCs/>
          <w:sz w:val="24"/>
          <w:szCs w:val="24"/>
        </w:rPr>
        <w:t xml:space="preserve">10.1	Obligations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Each party (the Receiving Party) will keep confidential all Confidential Information received from the other party (the Disclosing Party) and will not, without the prior written consent of the Disclosing Party, disclose any Confidential Information to any third party or use any Confidential Information for any purpose other than the performance of its obligations under this Agreement.</w:t>
      </w:r>
    </w:p>
    <w:p>
      <w:pPr>
        <w:pStyle w:val="Heading2"/>
        <w:spacing w:after="160" w:before="240"/>
      </w:pPr>
      <w:r>
        <w:rPr>
          <w:rFonts w:ascii="Times New Roman" w:cs="Times New Roman" w:eastAsia="Times New Roman" w:hAnsi="Times New Roman"/>
          <w:b/>
          <w:bCs/>
          <w:sz w:val="24"/>
          <w:szCs w:val="24"/>
        </w:rPr>
        <w:t xml:space="preserve">10.2	Exceptions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obligations in clause 10.1 do not apply to information that:</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is or becomes publicly available other than through a breach of this Agreement;</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was lawfully in the possession of the Receiving Party prior to its disclosure by the Disclosing Party, as evidenced by written records;</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is independently developed by the Receiving Party without reference to the Disclosing Party’s Confidential Information; or</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is required to be disclosed by law, regulation or order of a court or regulatory authority of competent jurisdiction, provided that the Receiving Party gives the Disclosing Party prompt written notice of such requirement and cooperates with any reasonable steps taken by the Disclosing Party to resist or limit such disclosure.</w:t>
      </w:r>
    </w:p>
    <w:p>
      <w:pPr>
        <w:pStyle w:val="Heading2"/>
        <w:spacing w:after="160" w:before="240"/>
      </w:pPr>
      <w:r>
        <w:rPr>
          <w:rFonts w:ascii="Times New Roman" w:cs="Times New Roman" w:eastAsia="Times New Roman" w:hAnsi="Times New Roman"/>
          <w:b/>
          <w:bCs/>
          <w:sz w:val="24"/>
          <w:szCs w:val="24"/>
        </w:rPr>
        <w:t xml:space="preserve">10.3	Survival</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obligations in this clause 10 will survive the termination or expiry of this Agreement for a period of 3 years from the date of termination or expiry.</w:t>
      </w:r>
    </w:p>
    <w:p>
      <w:pPr>
        <w:pStyle w:val="Heading1"/>
        <w:pageBreakBefore/>
        <w:spacing w:after="200" w:before="360"/>
      </w:pPr>
      <w:r>
        <w:rPr>
          <w:rFonts w:ascii="Times New Roman" w:cs="Times New Roman" w:eastAsia="Times New Roman" w:hAnsi="Times New Roman"/>
          <w:b/>
          <w:bCs/>
          <w:sz w:val="26"/>
          <w:szCs w:val="26"/>
        </w:rPr>
        <w:t xml:space="preserve">11.	TERM AND TERMINATION</w:t>
      </w:r>
    </w:p>
    <w:p>
      <w:pPr>
        <w:pStyle w:val="Heading2"/>
        <w:spacing w:after="160" w:before="240"/>
      </w:pPr>
      <w:r>
        <w:rPr>
          <w:rFonts w:ascii="Times New Roman" w:cs="Times New Roman" w:eastAsia="Times New Roman" w:hAnsi="Times New Roman"/>
          <w:b/>
          <w:bCs/>
          <w:sz w:val="24"/>
          <w:szCs w:val="24"/>
        </w:rPr>
        <w:t xml:space="preserve">11.1	Commencement and Initial Term</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This Agreement commences on 15 March 2023 (the Commencement Date) and, unless terminated earlier in accordance with this clause 11, will continue for an initial term of 3 years from the Commencement Date (the Initial Term).</w:t>
      </w:r>
    </w:p>
    <w:p>
      <w:pPr>
        <w:pStyle w:val="Heading2"/>
        <w:spacing w:after="160" w:before="240"/>
      </w:pPr>
      <w:r>
        <w:rPr>
          <w:rFonts w:ascii="Times New Roman" w:cs="Times New Roman" w:eastAsia="Times New Roman" w:hAnsi="Times New Roman"/>
          <w:b/>
          <w:bCs/>
          <w:sz w:val="24"/>
          <w:szCs w:val="24"/>
        </w:rPr>
        <w:t xml:space="preserve">11.2	Renewal</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Upon expiry of the Initial Term, this Agreement will automatically renew for successive periods of 12 months each (each a Renewal Term), unless either party gives the other not less than 6 months’ written notice of its intention not to renew, such notice to expire at the end of the Initial Term or any Renewal Term (as the case may be).</w:t>
      </w:r>
    </w:p>
    <w:p>
      <w:pPr>
        <w:pStyle w:val="Heading2"/>
        <w:spacing w:after="160" w:before="240"/>
      </w:pPr>
      <w:r>
        <w:rPr>
          <w:rFonts w:ascii="Times New Roman" w:cs="Times New Roman" w:eastAsia="Times New Roman" w:hAnsi="Times New Roman"/>
          <w:b/>
          <w:bCs/>
          <w:sz w:val="24"/>
          <w:szCs w:val="24"/>
        </w:rPr>
        <w:t xml:space="preserve">11.3	Termination for Cause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Either party may terminate this Agreement by written notice to the other party if:</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other party commits a material breach of this Agreement and, where the breach is capable of remedy, fails to remedy the breach within 20 Business Days after receiving written notice specifying the breach and requiring its remedy;</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other party becomes insolvent, is placed into liquidation or receivership, makes an assignment for the benefit of creditors, or has a statutory demand served on it under section 289 of the Companies Act 1993 that is not set aside within the prescribed period;</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other party ceases or threatens to cease to carry on all or a material part of its business; or</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a Force Majeure Event affecting the other party continues for a period of more than 90 consecutive days.</w:t>
      </w:r>
    </w:p>
    <w:p>
      <w:pPr>
        <w:pStyle w:val="Heading2"/>
        <w:spacing w:after="160" w:before="240"/>
      </w:pPr>
      <w:r>
        <w:rPr>
          <w:rFonts w:ascii="Times New Roman" w:cs="Times New Roman" w:eastAsia="Times New Roman" w:hAnsi="Times New Roman"/>
          <w:b/>
          <w:bCs/>
          <w:sz w:val="24"/>
          <w:szCs w:val="24"/>
        </w:rPr>
        <w:t xml:space="preserve">11.4	Consequences of Termination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Upon termination or expiry of this Agreement:</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promptly cease marketing the Equipment and using the Supplier’s Intellectual Property in accordance with clause 9.3;</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parties will cooperate in good faith to complete any Orders accepted by the Supplier prior to the date of termination, and Commission will remain payable in respect of those Orders;</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Broker will return all Demonstration Equipment to the Supplier within 20 Business Days of termination in the condition required by clause 3.4;</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the Supplier will provide the Broker with a final Commission reconciliation within 40 Business Days of the termination date; and</w:t>
      </w:r>
    </w:p>
    <w:p>
      <w:pPr>
        <w:spacing w:after="100" w:line="276"/>
        <w:ind w:left="720" w:hanging="720"/>
        <w:jc w:val="both"/>
      </w:pPr>
      <w:r>
        <w:rPr>
          <w:rFonts w:ascii="Times New Roman" w:cs="Times New Roman" w:eastAsia="Times New Roman" w:hAnsi="Times New Roman"/>
          <w:b w:val="false"/>
          <w:bCs w:val="false"/>
          <w:sz w:val="22"/>
          <w:szCs w:val="22"/>
        </w:rPr>
        <w:t xml:space="preserve">(e)	</w:t>
      </w:r>
      <w:r>
        <w:rPr>
          <w:rFonts w:ascii="Times New Roman" w:cs="Times New Roman" w:eastAsia="Times New Roman" w:hAnsi="Times New Roman"/>
          <w:sz w:val="22"/>
          <w:szCs w:val="22"/>
        </w:rPr>
        <w:t xml:space="preserve">the Supplier will discharge any financing statement registered under the PPSA in respect of Equipment for which payment has been received in full.</w:t>
      </w:r>
    </w:p>
    <w:p>
      <w:pPr>
        <w:pStyle w:val="Heading2"/>
        <w:spacing w:after="160" w:before="240"/>
      </w:pPr>
      <w:r>
        <w:rPr>
          <w:rFonts w:ascii="Times New Roman" w:cs="Times New Roman" w:eastAsia="Times New Roman" w:hAnsi="Times New Roman"/>
          <w:b/>
          <w:bCs/>
          <w:sz w:val="24"/>
          <w:szCs w:val="24"/>
        </w:rPr>
        <w:t xml:space="preserve">11.5	Survival</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Clauses 5.4 (Retention of Title), 8 (Warranties and Liability), 9.3 (Cessation on Termination), 10 (Confidentiality), 11.4 (Consequences of Termination) and 12 (Dispute Resolution) will survive the termination or expiry of this Agreement.</w:t>
      </w:r>
    </w:p>
    <w:p>
      <w:pPr>
        <w:pStyle w:val="Heading1"/>
        <w:pageBreakBefore/>
        <w:spacing w:after="200" w:before="360"/>
      </w:pPr>
      <w:r>
        <w:rPr>
          <w:rFonts w:ascii="Times New Roman" w:cs="Times New Roman" w:eastAsia="Times New Roman" w:hAnsi="Times New Roman"/>
          <w:b/>
          <w:bCs/>
          <w:sz w:val="26"/>
          <w:szCs w:val="26"/>
        </w:rPr>
        <w:t xml:space="preserve">12.	DISPUTE RESOLUTION</w:t>
      </w:r>
    </w:p>
    <w:p>
      <w:pPr>
        <w:pStyle w:val="Heading2"/>
        <w:spacing w:after="160" w:before="240"/>
      </w:pPr>
      <w:r>
        <w:rPr>
          <w:rFonts w:ascii="Times New Roman" w:cs="Times New Roman" w:eastAsia="Times New Roman" w:hAnsi="Times New Roman"/>
          <w:b/>
          <w:bCs/>
          <w:sz w:val="24"/>
          <w:szCs w:val="24"/>
        </w:rPr>
        <w:t xml:space="preserve">12.1	Negotiation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If a dispute arises out of or in connection with this Agreement (a Dispute), a party must not commence arbitration or court proceedings (except proceedings seeking urgent interlocutory relief) unless it has first attempted to resolve the Dispute by negotiation in accordance with this clause 12.1. The parties will first attempt in good faith to resolve the Dispute by negotiation between senior executives with authority to settle the Dispute, within 15 Business Days of one party giving written notice of the Dispute to the other.</w:t>
      </w:r>
    </w:p>
    <w:p>
      <w:pPr>
        <w:pStyle w:val="Heading2"/>
        <w:spacing w:after="160" w:before="240"/>
      </w:pPr>
      <w:r>
        <w:rPr>
          <w:rFonts w:ascii="Times New Roman" w:cs="Times New Roman" w:eastAsia="Times New Roman" w:hAnsi="Times New Roman"/>
          <w:b/>
          <w:bCs/>
          <w:sz w:val="24"/>
          <w:szCs w:val="24"/>
        </w:rPr>
        <w:t xml:space="preserve">12.2	Mediation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If the Dispute is not resolved by negotiation within the period specified in clause 12.1, the parties will submit the Dispute to mediation administered by the Arbitrators’ and Mediators’ Institute of New Zealand Inc. (AMINZ) in accordance with the AMINZ Mediation Protocol then in force. The mediation will be held in Auckland and the costs of the mediator will be shared equally between the parties.</w:t>
      </w:r>
    </w:p>
    <w:p>
      <w:pPr>
        <w:pStyle w:val="Heading2"/>
        <w:spacing w:after="160" w:before="240"/>
      </w:pPr>
      <w:r>
        <w:rPr>
          <w:rFonts w:ascii="Times New Roman" w:cs="Times New Roman" w:eastAsia="Times New Roman" w:hAnsi="Times New Roman"/>
          <w:b/>
          <w:bCs/>
          <w:sz w:val="24"/>
          <w:szCs w:val="24"/>
        </w:rPr>
        <w:t xml:space="preserve">12.3	Arbitration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If the Dispute is not resolved by mediation within 30 Business Days of the appointment of the mediator (or such longer period as the parties may agree), the Dispute will be finally resolved by arbitration in accordance with the Arbitration Act 1996 and the AMINZ Arbitration Rules then in force. The arbitration will be conducted by a single arbitrator appointed by agreement of the parties or, failing agreement within 10 Business Days, by the President of AMINZ. The seat of the arbitration will be Auckland.</w:t>
      </w:r>
    </w:p>
    <w:p>
      <w:pPr>
        <w:pStyle w:val="Heading2"/>
        <w:spacing w:after="160" w:before="240"/>
      </w:pPr>
      <w:r>
        <w:rPr>
          <w:rFonts w:ascii="Times New Roman" w:cs="Times New Roman" w:eastAsia="Times New Roman" w:hAnsi="Times New Roman"/>
          <w:b/>
          <w:bCs/>
          <w:sz w:val="24"/>
          <w:szCs w:val="24"/>
        </w:rPr>
        <w:t xml:space="preserve">12.4	Urgent Relief</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Nothing in this clause 12 prevents either party from seeking urgent injunctive or interlocutory relief from the High Court of New Zealand at any time.</w:t>
      </w:r>
    </w:p>
    <w:p>
      <w:pPr>
        <w:pStyle w:val="Heading1"/>
        <w:pageBreakBefore/>
        <w:spacing w:after="200" w:before="360"/>
      </w:pPr>
      <w:r>
        <w:rPr>
          <w:rFonts w:ascii="Times New Roman" w:cs="Times New Roman" w:eastAsia="Times New Roman" w:hAnsi="Times New Roman"/>
          <w:b/>
          <w:bCs/>
          <w:sz w:val="26"/>
          <w:szCs w:val="26"/>
        </w:rPr>
        <w:t xml:space="preserve">13.	GENERAL PROVISIONS</w:t>
      </w:r>
    </w:p>
    <w:p>
      <w:pPr>
        <w:pStyle w:val="Heading2"/>
        <w:spacing w:after="160" w:before="240"/>
      </w:pPr>
      <w:r>
        <w:rPr>
          <w:rFonts w:ascii="Times New Roman" w:cs="Times New Roman" w:eastAsia="Times New Roman" w:hAnsi="Times New Roman"/>
          <w:b/>
          <w:bCs/>
          <w:sz w:val="24"/>
          <w:szCs w:val="24"/>
        </w:rPr>
        <w:t xml:space="preserve">13.1	Entire Agreement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This Agreement (including its Appendices) constitutes the entire agreement between the parties in relation to its subject matter and supersedes all prior negotiations, representations, undertakings and agreements, whether written or oral.</w:t>
      </w:r>
    </w:p>
    <w:p>
      <w:pPr>
        <w:pStyle w:val="Heading2"/>
        <w:spacing w:after="160" w:before="240"/>
      </w:pPr>
      <w:r>
        <w:rPr>
          <w:rFonts w:ascii="Times New Roman" w:cs="Times New Roman" w:eastAsia="Times New Roman" w:hAnsi="Times New Roman"/>
          <w:b/>
          <w:bCs/>
          <w:sz w:val="24"/>
          <w:szCs w:val="24"/>
        </w:rPr>
        <w:t xml:space="preserve">13.2	Amendments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No amendment to this Agreement will be effective unless it is in writing and signed by both parties.</w:t>
      </w:r>
    </w:p>
    <w:p>
      <w:pPr>
        <w:pStyle w:val="Heading2"/>
        <w:spacing w:after="160" w:before="240"/>
      </w:pPr>
      <w:r>
        <w:rPr>
          <w:rFonts w:ascii="Times New Roman" w:cs="Times New Roman" w:eastAsia="Times New Roman" w:hAnsi="Times New Roman"/>
          <w:b/>
          <w:bCs/>
          <w:sz w:val="24"/>
          <w:szCs w:val="24"/>
        </w:rPr>
        <w:t xml:space="preserve">13.3	Waiver</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No failure or delay by a party in exercising any right or remedy under this Agreement will operate as a waiver of that right or remedy. A waiver of any right or remedy on one occasion will not be construed as a waiver of any right or remedy on any other occasion.</w:t>
      </w:r>
    </w:p>
    <w:p>
      <w:pPr>
        <w:pStyle w:val="Heading2"/>
        <w:spacing w:after="160" w:before="240"/>
      </w:pPr>
      <w:r>
        <w:rPr>
          <w:rFonts w:ascii="Times New Roman" w:cs="Times New Roman" w:eastAsia="Times New Roman" w:hAnsi="Times New Roman"/>
          <w:b/>
          <w:bCs/>
          <w:sz w:val="24"/>
          <w:szCs w:val="24"/>
        </w:rPr>
        <w:t xml:space="preserve">13.4	Severability</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If any provision of this Agreement is held to be invalid, illegal or unenforceable, the validity, legality and enforceability of the remaining provisions will not be affected or impaired thereby.</w:t>
      </w:r>
    </w:p>
    <w:p>
      <w:pPr>
        <w:pStyle w:val="Heading2"/>
        <w:spacing w:after="160" w:before="240"/>
      </w:pPr>
      <w:r>
        <w:rPr>
          <w:rFonts w:ascii="Times New Roman" w:cs="Times New Roman" w:eastAsia="Times New Roman" w:hAnsi="Times New Roman"/>
          <w:b/>
          <w:bCs/>
          <w:sz w:val="24"/>
          <w:szCs w:val="24"/>
        </w:rPr>
        <w:t xml:space="preserve">13.5	Assignment</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may not assign, transfer, charge or otherwise dispose of any of its rights or obligations under this Agreement without the prior written consent of the Supplier.</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Supplier may assign or transfer any of its rights or obligations under this Agreement to a Related Company (as defined in the Companies Act 1993) by giving written notice to the Broker, provided that such assignment does not materially adversely affect the Broker’s rights under this Agreement.</w:t>
      </w:r>
    </w:p>
    <w:p>
      <w:pPr>
        <w:pStyle w:val="Heading2"/>
        <w:spacing w:after="160" w:before="240"/>
      </w:pPr>
      <w:r>
        <w:rPr>
          <w:rFonts w:ascii="Times New Roman" w:cs="Times New Roman" w:eastAsia="Times New Roman" w:hAnsi="Times New Roman"/>
          <w:b/>
          <w:bCs/>
          <w:sz w:val="24"/>
          <w:szCs w:val="24"/>
        </w:rPr>
        <w:t xml:space="preserve">13.6	Notices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Any notice required or permitted to be given under this Agreement must be in writing and delivered by hand, posted by prepaid post, or sent by email to the addresses set out below (or such other address as a party may notify to the other from time to time):</w:t>
      </w:r>
    </w:p>
    <w:p>
      <w:pPr>
        <w:spacing w:after="120" w:before="0" w:line="276"/>
        <w:ind w:left="720"/>
        <w:jc w:val="both"/>
      </w:pPr>
      <w:r>
        <w:rPr>
          <w:rFonts w:ascii="Times New Roman" w:cs="Times New Roman" w:eastAsia="Times New Roman" w:hAnsi="Times New Roman"/>
          <w:b/>
          <w:bCs/>
          <w:i w:val="false"/>
          <w:iCs w:val="false"/>
          <w:sz w:val="22"/>
          <w:szCs w:val="22"/>
        </w:rPr>
        <w:t xml:space="preserve">To the Supplier:</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Hauraki Plant &amp; Machinery Limited</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17 Anglesea Street, Hamilton 3204</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Attention: General Manager</w:t>
      </w:r>
    </w:p>
    <w:p>
      <w:pPr>
        <w:spacing w:after="120" w:before="0" w:line="276"/>
        <w:ind w:left="1080"/>
        <w:jc w:val="both"/>
      </w:pPr>
      <w:r>
        <w:rPr>
          <w:rFonts w:ascii="Times New Roman" w:cs="Times New Roman" w:eastAsia="Times New Roman" w:hAnsi="Times New Roman"/>
          <w:b w:val="false"/>
          <w:bCs w:val="false"/>
          <w:i w:val="false"/>
          <w:iCs w:val="false"/>
          <w:sz w:val="22"/>
          <w:szCs w:val="22"/>
        </w:rPr>
        <w:t xml:space="preserve">Email: contracts@haurakiplant.co.nz</w:t>
      </w:r>
    </w:p>
    <w:p>
      <w:pPr>
        <w:spacing w:after="120" w:before="0" w:line="276"/>
        <w:ind w:left="720"/>
        <w:jc w:val="both"/>
      </w:pPr>
      <w:r>
        <w:rPr>
          <w:rFonts w:ascii="Times New Roman" w:cs="Times New Roman" w:eastAsia="Times New Roman" w:hAnsi="Times New Roman"/>
          <w:b/>
          <w:bCs/>
          <w:i w:val="false"/>
          <w:iCs w:val="false"/>
          <w:sz w:val="22"/>
          <w:szCs w:val="22"/>
        </w:rPr>
        <w:t xml:space="preserve">To the Broker:</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Southern Cross Equipment Brokers Limited</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94 Cashel Street, Christchurch 8011</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Attention: Managing Director</w:t>
      </w:r>
    </w:p>
    <w:p>
      <w:pPr>
        <w:spacing w:after="120" w:before="0" w:line="276"/>
        <w:ind w:left="1080"/>
        <w:jc w:val="both"/>
      </w:pPr>
      <w:r>
        <w:rPr>
          <w:rFonts w:ascii="Times New Roman" w:cs="Times New Roman" w:eastAsia="Times New Roman" w:hAnsi="Times New Roman"/>
          <w:b w:val="false"/>
          <w:bCs w:val="false"/>
          <w:i w:val="false"/>
          <w:iCs w:val="false"/>
          <w:sz w:val="22"/>
          <w:szCs w:val="22"/>
        </w:rPr>
        <w:t xml:space="preserve">Email: legal@southerncrossequipment.co.nz</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A notice is deemed to be received: if delivered by hand, at the time of delivery; if posted, 3 Business Days after posting (for notices posted within New Zealand); and if sent by email, at the time the email enters the recipient’s information system (provided that, if the email is sent after 5:00 pm on a Business Day or on a day that is not a Business Day, it is deemed to have been received at 9:00 am on the next Business Day).</w:t>
      </w:r>
    </w:p>
    <w:p>
      <w:pPr>
        <w:pStyle w:val="Heading2"/>
        <w:spacing w:after="160" w:before="240"/>
      </w:pPr>
      <w:r>
        <w:rPr>
          <w:rFonts w:ascii="Times New Roman" w:cs="Times New Roman" w:eastAsia="Times New Roman" w:hAnsi="Times New Roman"/>
          <w:b/>
          <w:bCs/>
          <w:sz w:val="24"/>
          <w:szCs w:val="24"/>
        </w:rPr>
        <w:t xml:space="preserve">13.7	Governing Law and Jurisdiction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This Agreement is governed by and will be construed in accordance with the laws of New Zealand. Subject to clause 12, the parties submit to the non-exclusive jurisdiction of the courts of New Zealand.</w:t>
      </w:r>
    </w:p>
    <w:p>
      <w:pPr>
        <w:pStyle w:val="Heading2"/>
        <w:spacing w:after="160" w:before="240"/>
      </w:pPr>
      <w:r>
        <w:rPr>
          <w:rFonts w:ascii="Times New Roman" w:cs="Times New Roman" w:eastAsia="Times New Roman" w:hAnsi="Times New Roman"/>
          <w:b/>
          <w:bCs/>
          <w:sz w:val="24"/>
          <w:szCs w:val="24"/>
        </w:rPr>
        <w:t xml:space="preserve">13.8	Force Majeure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Neither party will be liable to the other for any failure or delay in performing its obligations under this Agreement (other than an obligation to make a payment) to the extent that such failure or delay is caused by a Force Majeure Event, provided that the affected party gives the other party prompt written notice of the Force Majeure Event and uses its best endeavours to mitigate the effect of the Force Majeure Event and resume performance as soon as reasonably practicable.</w:t>
      </w:r>
    </w:p>
    <w:p>
      <w:pPr>
        <w:pStyle w:val="Heading2"/>
        <w:spacing w:after="160" w:before="240"/>
      </w:pPr>
      <w:r>
        <w:rPr>
          <w:rFonts w:ascii="Times New Roman" w:cs="Times New Roman" w:eastAsia="Times New Roman" w:hAnsi="Times New Roman"/>
          <w:b/>
          <w:bCs/>
          <w:sz w:val="24"/>
          <w:szCs w:val="24"/>
        </w:rPr>
        <w:t xml:space="preserve">13.9	Counterparts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This Agreement may be executed in any number of counterparts, each of which will be deemed an original, and all of which together will constitute one and the same agreement. Delivery of an executed counterpart by email (in PDF format) will be effective as delivery of an original executed counterpart.</w:t>
      </w:r>
    </w:p>
    <w:p>
      <w:pPr>
        <w:pStyle w:val="Heading2"/>
        <w:spacing w:after="160" w:before="240"/>
      </w:pPr>
      <w:r>
        <w:rPr>
          <w:rFonts w:ascii="Times New Roman" w:cs="Times New Roman" w:eastAsia="Times New Roman" w:hAnsi="Times New Roman"/>
          <w:b/>
          <w:bCs/>
          <w:sz w:val="24"/>
          <w:szCs w:val="24"/>
        </w:rPr>
        <w:t xml:space="preserve">13.10	Further Assurances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Each party will do all things and execute all documents reasonably necessary to give full effect to this Agreement.</w:t>
      </w:r>
    </w:p>
    <w:p>
      <w:pPr>
        <w:pStyle w:val="Heading2"/>
        <w:spacing w:after="160" w:before="240"/>
      </w:pPr>
      <w:r>
        <w:rPr>
          <w:rFonts w:ascii="Times New Roman" w:cs="Times New Roman" w:eastAsia="Times New Roman" w:hAnsi="Times New Roman"/>
          <w:b/>
          <w:bCs/>
          <w:sz w:val="24"/>
          <w:szCs w:val="24"/>
        </w:rPr>
        <w:t xml:space="preserve">13.11	Costs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Each party will bear its own costs in relation to the negotiation, preparation and execution of this Agreement.</w:t>
      </w:r>
    </w:p>
    <w:p>
      <w:pPr>
        <w:pageBreakBefore/>
        <w:spacing w:after="400" w:before="600" w:line="276"/>
        <w:jc w:val="both"/>
      </w:pPr>
      <w:r>
        <w:rPr>
          <w:rFonts w:ascii="Times New Roman" w:cs="Times New Roman" w:eastAsia="Times New Roman" w:hAnsi="Times New Roman"/>
          <w:b/>
          <w:bCs/>
          <w:i w:val="false"/>
          <w:iCs w:val="false"/>
          <w:sz w:val="22"/>
          <w:szCs w:val="22"/>
        </w:rPr>
        <w:t xml:space="preserve">EXECUTED as an agreement.</w:t>
      </w:r>
    </w:p>
    <w:p>
      <w:pPr>
        <w:spacing w:after="40" w:before="0" w:line="276"/>
        <w:jc w:val="both"/>
      </w:pPr>
      <w:r>
        <w:rPr>
          <w:rFonts w:ascii="Times New Roman" w:cs="Times New Roman" w:eastAsia="Times New Roman" w:hAnsi="Times New Roman"/>
          <w:b w:val="false"/>
          <w:bCs w:val="false"/>
          <w:i w:val="false"/>
          <w:iCs w:val="false"/>
          <w:sz w:val="22"/>
          <w:szCs w:val="22"/>
        </w:rPr>
        <w:t xml:space="preserve">SIGNED for and on behalf of</w:t>
      </w:r>
      <w:r>
        <w:rPr>
          <w:rFonts w:ascii="Times New Roman" w:cs="Times New Roman" w:eastAsia="Times New Roman" w:hAnsi="Times New Roman"/>
          <w:b/>
          <w:bCs/>
          <w:i w:val="false"/>
          <w:iCs w:val="false"/>
          <w:sz w:val="22"/>
          <w:szCs w:val="22"/>
        </w:rPr>
        <w:t xml:space="preserve"> HAURAKI PLANT &amp; MACHINERY LIMITED</w:t>
      </w:r>
    </w:p>
    <w:p>
      <w:pPr>
        <w:spacing w:after="300" w:before="0" w:line="276"/>
        <w:jc w:val="both"/>
      </w:pPr>
      <w:r>
        <w:rPr>
          <w:rFonts w:ascii="Times New Roman" w:cs="Times New Roman" w:eastAsia="Times New Roman" w:hAnsi="Times New Roman"/>
          <w:b w:val="false"/>
          <w:bCs w:val="false"/>
          <w:i w:val="false"/>
          <w:iCs w:val="false"/>
          <w:sz w:val="22"/>
          <w:szCs w:val="22"/>
        </w:rPr>
        <w:t xml:space="preserve">by two directors in accordance with section 180 of the Companies Act 1993:</w:t>
      </w:r>
    </w:p>
    <w:p>
      <w:pPr>
        <w:tabs>
          <w:tab w:val="left" w:pos="5040"/>
        </w:tabs>
        <w:spacing w:after="40"/>
      </w:pPr>
      <w:r>
        <w:rPr>
          <w:rFonts w:ascii="Times New Roman" w:cs="Times New Roman" w:eastAsia="Times New Roman" w:hAnsi="Times New Roman"/>
          <w:sz w:val="22"/>
          <w:szCs w:val="22"/>
        </w:rPr>
        <w:t xml:space="preserve">____________________________</w:t>
      </w:r>
      <w:r>
        <w:rPr>
          <w:rFonts w:ascii="Times New Roman" w:cs="Times New Roman" w:eastAsia="Times New Roman" w:hAnsi="Times New Roman"/>
          <w:sz w:val="22"/>
          <w:szCs w:val="22"/>
        </w:rPr>
        <w:t xml:space="preserve">	____________________________</w:t>
      </w:r>
    </w:p>
    <w:p>
      <w:pPr>
        <w:tabs>
          <w:tab w:val="left" w:pos="5040"/>
        </w:tabs>
        <w:spacing w:after="40"/>
      </w:pPr>
      <w:r>
        <w:rPr>
          <w:rFonts w:ascii="Times New Roman" w:cs="Times New Roman" w:eastAsia="Times New Roman" w:hAnsi="Times New Roman"/>
          <w:i/>
          <w:iCs/>
          <w:sz w:val="20"/>
          <w:szCs w:val="20"/>
        </w:rPr>
        <w:t xml:space="preserve">Director</w:t>
      </w:r>
      <w:r>
        <w:rPr>
          <w:rFonts w:ascii="Times New Roman" w:cs="Times New Roman" w:eastAsia="Times New Roman" w:hAnsi="Times New Roman"/>
          <w:i/>
          <w:iCs/>
          <w:sz w:val="20"/>
          <w:szCs w:val="20"/>
        </w:rPr>
        <w:t xml:space="preserve">	Director</w:t>
      </w:r>
    </w:p>
    <w:p>
      <w:pPr>
        <w:tabs>
          <w:tab w:val="left" w:pos="5040"/>
        </w:tabs>
        <w:spacing w:after="40"/>
      </w:pPr>
      <w:r>
        <w:rPr>
          <w:rFonts w:ascii="Times New Roman" w:cs="Times New Roman" w:eastAsia="Times New Roman" w:hAnsi="Times New Roman"/>
          <w:sz w:val="20"/>
          <w:szCs w:val="20"/>
        </w:rPr>
        <w:t xml:space="preserve">Name:</w:t>
      </w:r>
      <w:r>
        <w:rPr>
          <w:rFonts w:ascii="Times New Roman" w:cs="Times New Roman" w:eastAsia="Times New Roman" w:hAnsi="Times New Roman"/>
          <w:sz w:val="20"/>
          <w:szCs w:val="20"/>
        </w:rPr>
        <w:t xml:space="preserve">	Name:</w:t>
      </w:r>
    </w:p>
    <w:p>
      <w:pPr>
        <w:tabs>
          <w:tab w:val="left" w:pos="5040"/>
        </w:tabs>
        <w:spacing w:after="400"/>
      </w:pPr>
      <w:r>
        <w:rPr>
          <w:rFonts w:ascii="Times New Roman" w:cs="Times New Roman" w:eastAsia="Times New Roman" w:hAnsi="Times New Roman"/>
          <w:sz w:val="20"/>
          <w:szCs w:val="20"/>
        </w:rPr>
        <w:t xml:space="preserve">Date:</w:t>
      </w:r>
      <w:r>
        <w:rPr>
          <w:rFonts w:ascii="Times New Roman" w:cs="Times New Roman" w:eastAsia="Times New Roman" w:hAnsi="Times New Roman"/>
          <w:sz w:val="20"/>
          <w:szCs w:val="20"/>
        </w:rPr>
        <w:t xml:space="preserve">	Date:</w:t>
      </w:r>
    </w:p>
    <w:p>
      <w:pPr>
        <w:spacing w:after="40" w:before="0" w:line="276"/>
        <w:jc w:val="both"/>
      </w:pPr>
      <w:r>
        <w:rPr>
          <w:rFonts w:ascii="Times New Roman" w:cs="Times New Roman" w:eastAsia="Times New Roman" w:hAnsi="Times New Roman"/>
          <w:b w:val="false"/>
          <w:bCs w:val="false"/>
          <w:i w:val="false"/>
          <w:iCs w:val="false"/>
          <w:sz w:val="22"/>
          <w:szCs w:val="22"/>
        </w:rPr>
        <w:t xml:space="preserve">SIGNED for and on behalf of</w:t>
      </w:r>
      <w:r>
        <w:rPr>
          <w:rFonts w:ascii="Times New Roman" w:cs="Times New Roman" w:eastAsia="Times New Roman" w:hAnsi="Times New Roman"/>
          <w:b/>
          <w:bCs/>
          <w:i w:val="false"/>
          <w:iCs w:val="false"/>
          <w:sz w:val="22"/>
          <w:szCs w:val="22"/>
        </w:rPr>
        <w:t xml:space="preserve"> SOUTHERN CROSS EQUIPMENT BROKERS LIMITED</w:t>
      </w:r>
    </w:p>
    <w:p>
      <w:pPr>
        <w:spacing w:after="300" w:before="0" w:line="276"/>
        <w:jc w:val="both"/>
      </w:pPr>
      <w:r>
        <w:rPr>
          <w:rFonts w:ascii="Times New Roman" w:cs="Times New Roman" w:eastAsia="Times New Roman" w:hAnsi="Times New Roman"/>
          <w:b w:val="false"/>
          <w:bCs w:val="false"/>
          <w:i w:val="false"/>
          <w:iCs w:val="false"/>
          <w:sz w:val="22"/>
          <w:szCs w:val="22"/>
        </w:rPr>
        <w:t xml:space="preserve">by two directors in accordance with section 180 of the Companies Act 1993:</w:t>
      </w:r>
    </w:p>
    <w:p>
      <w:pPr>
        <w:tabs>
          <w:tab w:val="left" w:pos="5040"/>
        </w:tabs>
        <w:spacing w:after="40"/>
      </w:pPr>
      <w:r>
        <w:rPr>
          <w:rFonts w:ascii="Times New Roman" w:cs="Times New Roman" w:eastAsia="Times New Roman" w:hAnsi="Times New Roman"/>
          <w:sz w:val="22"/>
          <w:szCs w:val="22"/>
        </w:rPr>
        <w:t xml:space="preserve">____________________________</w:t>
      </w:r>
      <w:r>
        <w:rPr>
          <w:rFonts w:ascii="Times New Roman" w:cs="Times New Roman" w:eastAsia="Times New Roman" w:hAnsi="Times New Roman"/>
          <w:sz w:val="22"/>
          <w:szCs w:val="22"/>
        </w:rPr>
        <w:t xml:space="preserve">	____________________________</w:t>
      </w:r>
    </w:p>
    <w:p>
      <w:pPr>
        <w:tabs>
          <w:tab w:val="left" w:pos="5040"/>
        </w:tabs>
        <w:spacing w:after="40"/>
      </w:pPr>
      <w:r>
        <w:rPr>
          <w:rFonts w:ascii="Times New Roman" w:cs="Times New Roman" w:eastAsia="Times New Roman" w:hAnsi="Times New Roman"/>
          <w:i/>
          <w:iCs/>
          <w:sz w:val="20"/>
          <w:szCs w:val="20"/>
        </w:rPr>
        <w:t xml:space="preserve">Director</w:t>
      </w:r>
      <w:r>
        <w:rPr>
          <w:rFonts w:ascii="Times New Roman" w:cs="Times New Roman" w:eastAsia="Times New Roman" w:hAnsi="Times New Roman"/>
          <w:i/>
          <w:iCs/>
          <w:sz w:val="20"/>
          <w:szCs w:val="20"/>
        </w:rPr>
        <w:t xml:space="preserve">	Director</w:t>
      </w:r>
    </w:p>
    <w:p>
      <w:pPr>
        <w:tabs>
          <w:tab w:val="left" w:pos="5040"/>
        </w:tabs>
        <w:spacing w:after="40"/>
      </w:pPr>
      <w:r>
        <w:rPr>
          <w:rFonts w:ascii="Times New Roman" w:cs="Times New Roman" w:eastAsia="Times New Roman" w:hAnsi="Times New Roman"/>
          <w:sz w:val="20"/>
          <w:szCs w:val="20"/>
        </w:rPr>
        <w:t xml:space="preserve">Name:</w:t>
      </w:r>
      <w:r>
        <w:rPr>
          <w:rFonts w:ascii="Times New Roman" w:cs="Times New Roman" w:eastAsia="Times New Roman" w:hAnsi="Times New Roman"/>
          <w:sz w:val="20"/>
          <w:szCs w:val="20"/>
        </w:rPr>
        <w:t xml:space="preserve">	Name:</w:t>
      </w:r>
    </w:p>
    <w:p>
      <w:pPr>
        <w:tabs>
          <w:tab w:val="left" w:pos="5040"/>
        </w:tabs>
        <w:spacing w:after="400"/>
      </w:pPr>
      <w:r>
        <w:rPr>
          <w:rFonts w:ascii="Times New Roman" w:cs="Times New Roman" w:eastAsia="Times New Roman" w:hAnsi="Times New Roman"/>
          <w:sz w:val="20"/>
          <w:szCs w:val="20"/>
        </w:rPr>
        <w:t xml:space="preserve">Date:</w:t>
      </w:r>
      <w:r>
        <w:rPr>
          <w:rFonts w:ascii="Times New Roman" w:cs="Times New Roman" w:eastAsia="Times New Roman" w:hAnsi="Times New Roman"/>
          <w:sz w:val="20"/>
          <w:szCs w:val="20"/>
        </w:rPr>
        <w:t xml:space="preserve">	Date:</w:t>
      </w:r>
    </w:p>
    <w:p>
      <w:pPr>
        <w:pStyle w:val="Heading1"/>
        <w:pageBreakBefore/>
        <w:spacing w:after="200" w:before="360"/>
      </w:pPr>
      <w:r>
        <w:rPr>
          <w:rFonts w:ascii="Times New Roman" w:cs="Times New Roman" w:eastAsia="Times New Roman" w:hAnsi="Times New Roman"/>
          <w:b/>
          <w:bCs/>
          <w:sz w:val="26"/>
          <w:szCs w:val="26"/>
        </w:rPr>
        <w:t xml:space="preserve">APPENDIX A – PRODUCT SCHEDULE</w:t>
      </w:r>
    </w:p>
    <w:p>
      <w:pPr>
        <w:spacing w:after="200" w:before="0" w:line="276"/>
        <w:jc w:val="both"/>
      </w:pPr>
      <w:r>
        <w:rPr>
          <w:rFonts w:ascii="Times New Roman" w:cs="Times New Roman" w:eastAsia="Times New Roman" w:hAnsi="Times New Roman"/>
          <w:b w:val="false"/>
          <w:bCs w:val="false"/>
          <w:i w:val="false"/>
          <w:iCs w:val="false"/>
          <w:sz w:val="22"/>
          <w:szCs w:val="22"/>
        </w:rPr>
        <w:t xml:space="preserve">The following Equipment categories and models are subject to this Agreement as at the Commencement Date: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3226"/>
        <w:gridCol w:w="2000"/>
      </w:tblGrid>
      <w:tr>
        <w:tc>
          <w:tcPr>
            <w:tcW w:type="dxa" w:w="2000"/>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Category</w:t>
            </w:r>
          </w:p>
        </w:tc>
        <w:tc>
          <w:tcPr>
            <w:tcW w:type="dxa" w:w="1800"/>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Model</w:t>
            </w:r>
          </w:p>
        </w:tc>
        <w:tc>
          <w:tcPr>
            <w:tcW w:type="dxa" w:w="3226"/>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Description</w:t>
            </w:r>
          </w:p>
        </w:tc>
        <w:tc>
          <w:tcPr>
            <w:tcW w:type="dxa" w:w="2000"/>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Base Price (NZ$ excl. GST)</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Excavators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HPM-EX220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22-tonne tracked hydraulic excavator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$285,000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Excavators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HPM-EX330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33-tonne tracked hydraulic excavator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$415,000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Excavators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HPM-EX140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14-tonne tracked hydraulic excavator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$195,000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Wheel Loaders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HPM-WL180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18-tonne articulated wheel loader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$310,000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Wheel Loaders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HPM-WL250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25-tonne articulated wheel loader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$425,000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Compactors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HPM-RC12</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12-tonne single drum vibratory roller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$175,000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Compactors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HPM-RC18</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18-tonne tandem vibratory roller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$245,000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Mobile Crushers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HPM-MC500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50-tph tracked jaw crusher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$680,000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Mobile Crushers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HPM-MC800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80-tph tracked impact crusher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$920,000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Attachments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HPM-ATT-BKT</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Range of GP and HD buckets</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$3,500 – $18,000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Attachments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HPM-ATT-HYD</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Hydraulic breakers and rippers</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$12,000 – $45,000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Spare Parts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Various</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Genuine replacement parts catalogue</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Per parts price list</w:t>
            </w:r>
          </w:p>
        </w:tc>
      </w:tr>
    </w:tbl>
    <w:p>
      <w:pPr>
        <w:spacing w:after="120" w:before="200" w:line="276"/>
        <w:jc w:val="both"/>
      </w:pPr>
      <w:r>
        <w:rPr>
          <w:rFonts w:ascii="Times New Roman" w:cs="Times New Roman" w:eastAsia="Times New Roman" w:hAnsi="Times New Roman"/>
          <w:b w:val="false"/>
          <w:bCs w:val="false"/>
          <w:i/>
          <w:iCs/>
          <w:sz w:val="22"/>
          <w:szCs w:val="22"/>
        </w:rPr>
        <w:t xml:space="preserve">This schedule may be amended by the Supplier in accordance with clause 4.5.</w:t>
      </w:r>
    </w:p>
    <w:p>
      <w:pPr>
        <w:pStyle w:val="Heading1"/>
        <w:pageBreakBefore/>
        <w:spacing w:after="200" w:before="360"/>
      </w:pPr>
      <w:r>
        <w:rPr>
          <w:rFonts w:ascii="Times New Roman" w:cs="Times New Roman" w:eastAsia="Times New Roman" w:hAnsi="Times New Roman"/>
          <w:b/>
          <w:bCs/>
          <w:sz w:val="26"/>
          <w:szCs w:val="26"/>
        </w:rPr>
        <w:t xml:space="preserve">APPENDIX B – EXCLUDED KEY ACCOUNTS</w:t>
      </w:r>
    </w:p>
    <w:p>
      <w:pPr>
        <w:spacing w:after="200" w:before="0" w:line="276"/>
        <w:jc w:val="both"/>
      </w:pPr>
      <w:r>
        <w:rPr>
          <w:rFonts w:ascii="Times New Roman" w:cs="Times New Roman" w:eastAsia="Times New Roman" w:hAnsi="Times New Roman"/>
          <w:b w:val="false"/>
          <w:bCs w:val="false"/>
          <w:i w:val="false"/>
          <w:iCs w:val="false"/>
          <w:sz w:val="22"/>
          <w:szCs w:val="22"/>
        </w:rPr>
        <w:t xml:space="preserve">The following End Customers are Excluded Accounts for the purposes of clause 2.4: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526"/>
        <w:gridCol w:w="3000"/>
      </w:tblGrid>
      <w:tr>
        <w:tc>
          <w:tcPr>
            <w:tcW w:type="dxa" w:w="3500"/>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Account Name</w:t>
            </w:r>
          </w:p>
        </w:tc>
        <w:tc>
          <w:tcPr>
            <w:tcW w:type="dxa" w:w="2526"/>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NZBN</w:t>
            </w:r>
          </w:p>
        </w:tc>
        <w:tc>
          <w:tcPr>
            <w:tcW w:type="dxa" w:w="3000"/>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Primary Contact</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Fletcher Construction Company Limited</w:t>
            </w:r>
          </w:p>
        </w:tc>
        <w:tc>
          <w:tcPr>
            <w:tcW w:type="dxa" w:w="2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9429039375766</w:t>
            </w: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National Procurement Manager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Fulton Hogan Limited</w:t>
            </w:r>
          </w:p>
        </w:tc>
        <w:tc>
          <w:tcPr>
            <w:tcW w:type="dxa" w:w="2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9429038788680</w:t>
            </w: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Chief Procurement Officer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Downer New Zealand Limited</w:t>
            </w:r>
          </w:p>
        </w:tc>
        <w:tc>
          <w:tcPr>
            <w:tcW w:type="dxa" w:w="2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9429039636347</w:t>
            </w: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Equipment Fleet Manager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HEB Construction Limited</w:t>
            </w:r>
          </w:p>
        </w:tc>
        <w:tc>
          <w:tcPr>
            <w:tcW w:type="dxa" w:w="2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9429041567890</w:t>
            </w: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Plant Manager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New Zealand Transport Agency (Waka Kotahi)</w:t>
            </w:r>
          </w:p>
        </w:tc>
        <w:tc>
          <w:tcPr>
            <w:tcW w:type="dxa" w:w="2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N/A (Crown entity)</w:t>
            </w: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Procurement &amp; Contracts Lead</w:t>
            </w:r>
          </w:p>
        </w:tc>
      </w:tr>
    </w:tbl>
    <w:p>
      <w:pPr>
        <w:spacing w:after="120" w:before="200" w:line="276"/>
        <w:jc w:val="both"/>
      </w:pPr>
      <w:r>
        <w:rPr>
          <w:rFonts w:ascii="Times New Roman" w:cs="Times New Roman" w:eastAsia="Times New Roman" w:hAnsi="Times New Roman"/>
          <w:b w:val="false"/>
          <w:bCs w:val="false"/>
          <w:i/>
          <w:iCs/>
          <w:sz w:val="22"/>
          <w:szCs w:val="22"/>
        </w:rPr>
        <w:t xml:space="preserve">This schedule may be amended by the Supplier in accordance with clause 2.4.</w:t>
      </w:r>
    </w:p>
    <w:p>
      <w:pPr>
        <w:pStyle w:val="Heading1"/>
        <w:pageBreakBefore/>
        <w:spacing w:after="200" w:before="360"/>
      </w:pPr>
      <w:r>
        <w:rPr>
          <w:rFonts w:ascii="Times New Roman" w:cs="Times New Roman" w:eastAsia="Times New Roman" w:hAnsi="Times New Roman"/>
          <w:b/>
          <w:bCs/>
          <w:sz w:val="26"/>
          <w:szCs w:val="26"/>
        </w:rPr>
        <w:t xml:space="preserve">APPENDIX C – COMMISSION RATE TABLE</w:t>
      </w:r>
    </w:p>
    <w:p>
      <w:pPr>
        <w:spacing w:after="200" w:before="0" w:line="276"/>
        <w:jc w:val="both"/>
      </w:pPr>
      <w:r>
        <w:rPr>
          <w:rFonts w:ascii="Times New Roman" w:cs="Times New Roman" w:eastAsia="Times New Roman" w:hAnsi="Times New Roman"/>
          <w:b w:val="false"/>
          <w:bCs w:val="false"/>
          <w:i w:val="false"/>
          <w:iCs w:val="false"/>
          <w:sz w:val="22"/>
          <w:szCs w:val="22"/>
        </w:rPr>
        <w:t xml:space="preserve">Commission is calculated on aggregate net sales value (excluding GST and freight) in each 12-month period: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513"/>
        <w:gridCol w:w="3513"/>
      </w:tblGrid>
      <w:tr>
        <w:tc>
          <w:tcPr>
            <w:tcW w:type="dxa" w:w="5513"/>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Annual Sales Tier</w:t>
            </w:r>
          </w:p>
        </w:tc>
        <w:tc>
          <w:tcPr>
            <w:tcW w:type="dxa" w:w="3513"/>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Commission Rate</w:t>
            </w:r>
          </w:p>
        </w:tc>
      </w:tr>
      <w:tr>
        <w:tc>
          <w:tcPr>
            <w:tcW w:type="dxa" w:w="5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First NZ$2,000,000</w:t>
            </w:r>
          </w:p>
        </w:tc>
        <w:tc>
          <w:tcPr>
            <w:tcW w:type="dxa" w:w="3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8%</w:t>
            </w:r>
          </w:p>
        </w:tc>
      </w:tr>
      <w:tr>
        <w:tc>
          <w:tcPr>
            <w:tcW w:type="dxa" w:w="5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NZ$2,000,001 – NZ$5,000,000</w:t>
            </w:r>
          </w:p>
        </w:tc>
        <w:tc>
          <w:tcPr>
            <w:tcW w:type="dxa" w:w="3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10%</w:t>
            </w:r>
          </w:p>
        </w:tc>
      </w:tr>
      <w:tr>
        <w:tc>
          <w:tcPr>
            <w:tcW w:type="dxa" w:w="5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Above NZ$5,000,000</w:t>
            </w:r>
          </w:p>
        </w:tc>
        <w:tc>
          <w:tcPr>
            <w:tcW w:type="dxa" w:w="3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12%</w:t>
            </w:r>
          </w:p>
        </w:tc>
      </w:tr>
    </w:tbl>
    <w:p>
      <w:pPr>
        <w:spacing w:after="120" w:before="200" w:line="276"/>
        <w:jc w:val="both"/>
      </w:pPr>
      <w:r>
        <w:rPr>
          <w:rFonts w:ascii="Times New Roman" w:cs="Times New Roman" w:eastAsia="Times New Roman" w:hAnsi="Times New Roman"/>
          <w:b w:val="false"/>
          <w:bCs w:val="false"/>
          <w:i w:val="false"/>
          <w:iCs w:val="false"/>
          <w:sz w:val="22"/>
          <w:szCs w:val="22"/>
        </w:rPr>
        <w:t xml:space="preserve">Commission is calculated on a cumulative, incremental basis (i.e. each tier applies only to the portion of sales falling within that tier). For the avoidance of doubt, where sales in a 12-month period total NZ$6,000,000, Commission is calculated as: 8% on the first NZ$2,000,000 + 10% on the next NZ$3,000,000 + 12% on the remaining NZ$1,000,000.</w:t>
      </w:r>
    </w:p>
    <w:p>
      <w:pPr>
        <w:pStyle w:val="Heading1"/>
        <w:pageBreakBefore/>
        <w:spacing w:after="200" w:before="360"/>
      </w:pPr>
      <w:r>
        <w:rPr>
          <w:rFonts w:ascii="Times New Roman" w:cs="Times New Roman" w:eastAsia="Times New Roman" w:hAnsi="Times New Roman"/>
          <w:b/>
          <w:bCs/>
          <w:sz w:val="26"/>
          <w:szCs w:val="26"/>
        </w:rPr>
        <w:t xml:space="preserve">APPENDIX D – FORM OF PURCHASE ORDER</w:t>
      </w:r>
    </w:p>
    <w:p>
      <w:pPr>
        <w:spacing w:after="200" w:before="0" w:line="276"/>
        <w:jc w:val="both"/>
      </w:pPr>
      <w:r>
        <w:rPr>
          <w:rFonts w:ascii="Times New Roman" w:cs="Times New Roman" w:eastAsia="Times New Roman" w:hAnsi="Times New Roman"/>
          <w:b w:val="false"/>
          <w:bCs w:val="false"/>
          <w:i w:val="false"/>
          <w:iCs w:val="false"/>
          <w:sz w:val="22"/>
          <w:szCs w:val="22"/>
        </w:rPr>
        <w:t xml:space="preserve">Each Order submitted by the Broker must include the following minimum information:</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Broker’s purchase order number</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Date of Order</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End Customer name, delivery address and contact details</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Equipment model number(s) and quantity</w:t>
      </w:r>
    </w:p>
    <w:p>
      <w:pPr>
        <w:spacing w:after="100" w:line="276"/>
        <w:ind w:left="720" w:hanging="720"/>
        <w:jc w:val="both"/>
      </w:pPr>
      <w:r>
        <w:rPr>
          <w:rFonts w:ascii="Times New Roman" w:cs="Times New Roman" w:eastAsia="Times New Roman" w:hAnsi="Times New Roman"/>
          <w:b w:val="false"/>
          <w:bCs w:val="false"/>
          <w:sz w:val="22"/>
          <w:szCs w:val="22"/>
        </w:rPr>
        <w:t xml:space="preserve">(e)	</w:t>
      </w:r>
      <w:r>
        <w:rPr>
          <w:rFonts w:ascii="Times New Roman" w:cs="Times New Roman" w:eastAsia="Times New Roman" w:hAnsi="Times New Roman"/>
          <w:sz w:val="22"/>
          <w:szCs w:val="22"/>
        </w:rPr>
        <w:t xml:space="preserve">Any special configurations, attachments or accessories required</w:t>
      </w:r>
    </w:p>
    <w:p>
      <w:pPr>
        <w:spacing w:after="100" w:line="276"/>
        <w:ind w:left="720" w:hanging="720"/>
        <w:jc w:val="both"/>
      </w:pPr>
      <w:r>
        <w:rPr>
          <w:rFonts w:ascii="Times New Roman" w:cs="Times New Roman" w:eastAsia="Times New Roman" w:hAnsi="Times New Roman"/>
          <w:b w:val="false"/>
          <w:bCs w:val="false"/>
          <w:sz w:val="22"/>
          <w:szCs w:val="22"/>
        </w:rPr>
        <w:t xml:space="preserve">(f)	</w:t>
      </w:r>
      <w:r>
        <w:rPr>
          <w:rFonts w:ascii="Times New Roman" w:cs="Times New Roman" w:eastAsia="Times New Roman" w:hAnsi="Times New Roman"/>
          <w:sz w:val="22"/>
          <w:szCs w:val="22"/>
        </w:rPr>
        <w:t xml:space="preserve">Requested delivery date</w:t>
      </w:r>
    </w:p>
    <w:p>
      <w:pPr>
        <w:spacing w:after="100" w:line="276"/>
        <w:ind w:left="720" w:hanging="720"/>
        <w:jc w:val="both"/>
      </w:pPr>
      <w:r>
        <w:rPr>
          <w:rFonts w:ascii="Times New Roman" w:cs="Times New Roman" w:eastAsia="Times New Roman" w:hAnsi="Times New Roman"/>
          <w:b w:val="false"/>
          <w:bCs w:val="false"/>
          <w:sz w:val="22"/>
          <w:szCs w:val="22"/>
        </w:rPr>
        <w:t xml:space="preserve">(g)	</w:t>
      </w:r>
      <w:r>
        <w:rPr>
          <w:rFonts w:ascii="Times New Roman" w:cs="Times New Roman" w:eastAsia="Times New Roman" w:hAnsi="Times New Roman"/>
          <w:sz w:val="22"/>
          <w:szCs w:val="22"/>
        </w:rPr>
        <w:t xml:space="preserve">Delivery instructions (ex-works collection or delivery to End Customer site)</w:t>
      </w:r>
    </w:p>
    <w:p>
      <w:pPr>
        <w:spacing w:after="100" w:line="276"/>
        <w:ind w:left="720" w:hanging="720"/>
        <w:jc w:val="both"/>
      </w:pPr>
      <w:r>
        <w:rPr>
          <w:rFonts w:ascii="Times New Roman" w:cs="Times New Roman" w:eastAsia="Times New Roman" w:hAnsi="Times New Roman"/>
          <w:b w:val="false"/>
          <w:bCs w:val="false"/>
          <w:sz w:val="22"/>
          <w:szCs w:val="22"/>
        </w:rPr>
        <w:t xml:space="preserve">(h)	</w:t>
      </w:r>
      <w:r>
        <w:rPr>
          <w:rFonts w:ascii="Times New Roman" w:cs="Times New Roman" w:eastAsia="Times New Roman" w:hAnsi="Times New Roman"/>
          <w:sz w:val="22"/>
          <w:szCs w:val="22"/>
        </w:rPr>
        <w:t xml:space="preserve">End Customer’s purchase order or contract reference (if applicable)</w:t>
      </w:r>
    </w:p>
    <w:p>
      <w:pPr>
        <w:spacing w:after="100" w:line="276"/>
        <w:ind w:left="720" w:hanging="720"/>
        <w:jc w:val="both"/>
      </w:pPr>
      <w:r>
        <w:rPr>
          <w:rFonts w:ascii="Times New Roman" w:cs="Times New Roman" w:eastAsia="Times New Roman" w:hAnsi="Times New Roman"/>
          <w:b w:val="false"/>
          <w:bCs w:val="false"/>
          <w:sz w:val="22"/>
          <w:szCs w:val="22"/>
        </w:rPr>
        <w:t xml:space="preserve">(i)	</w:t>
      </w:r>
      <w:r>
        <w:rPr>
          <w:rFonts w:ascii="Times New Roman" w:cs="Times New Roman" w:eastAsia="Times New Roman" w:hAnsi="Times New Roman"/>
          <w:sz w:val="22"/>
          <w:szCs w:val="22"/>
        </w:rPr>
        <w:t xml:space="preserve">Confirmation that the End Customer has been provided with the Supplier’s current warranty terms</w:t>
      </w:r>
    </w:p>
    <w:p>
      <w:pPr>
        <w:spacing w:after="100" w:line="276"/>
        <w:ind w:left="720" w:hanging="720"/>
        <w:jc w:val="both"/>
      </w:pPr>
      <w:r>
        <w:rPr>
          <w:rFonts w:ascii="Times New Roman" w:cs="Times New Roman" w:eastAsia="Times New Roman" w:hAnsi="Times New Roman"/>
          <w:b w:val="false"/>
          <w:bCs w:val="false"/>
          <w:sz w:val="22"/>
          <w:szCs w:val="22"/>
        </w:rPr>
        <w:t xml:space="preserve">(j)	</w:t>
      </w:r>
      <w:r>
        <w:rPr>
          <w:rFonts w:ascii="Times New Roman" w:cs="Times New Roman" w:eastAsia="Times New Roman" w:hAnsi="Times New Roman"/>
          <w:sz w:val="22"/>
          <w:szCs w:val="22"/>
        </w:rPr>
        <w:t xml:space="preserve">Authorised signatory of the Broker</w:t>
      </w:r>
    </w:p>
    <w:p>
      <w:pPr>
        <w:pStyle w:val="Heading1"/>
        <w:pageBreakBefore/>
        <w:spacing w:after="200" w:before="360"/>
      </w:pPr>
      <w:r>
        <w:rPr>
          <w:rFonts w:ascii="Times New Roman" w:cs="Times New Roman" w:eastAsia="Times New Roman" w:hAnsi="Times New Roman"/>
          <w:b/>
          <w:bCs/>
          <w:sz w:val="26"/>
          <w:szCs w:val="26"/>
        </w:rPr>
        <w:t xml:space="preserve">APPENDIX E – APPROVED MARKETING GUIDELINES</w:t>
      </w:r>
    </w:p>
    <w:p>
      <w:pPr>
        <w:pStyle w:val="Heading2"/>
        <w:spacing w:after="160" w:before="240"/>
      </w:pPr>
      <w:r>
        <w:rPr>
          <w:rFonts w:ascii="Times New Roman" w:cs="Times New Roman" w:eastAsia="Times New Roman" w:hAnsi="Times New Roman"/>
          <w:b/>
          <w:bCs/>
          <w:sz w:val="24"/>
          <w:szCs w:val="24"/>
        </w:rPr>
        <w:t xml:space="preserve">E.1	Brand Usage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must use the Supplier’s trade marks and logos only in the forms provided by the Supplier. The Broker must not distort, recolour, or modify any trade mark or logo. All marketing materials must include the statement: “Authorised Broker for Hauraki Plant &amp; Machinery Limited” in a conspicuous position.</w:t>
      </w:r>
    </w:p>
    <w:p>
      <w:pPr>
        <w:pStyle w:val="Heading2"/>
        <w:spacing w:after="160" w:before="240"/>
      </w:pPr>
      <w:r>
        <w:rPr>
          <w:rFonts w:ascii="Times New Roman" w:cs="Times New Roman" w:eastAsia="Times New Roman" w:hAnsi="Times New Roman"/>
          <w:b/>
          <w:bCs/>
          <w:sz w:val="24"/>
          <w:szCs w:val="24"/>
        </w:rPr>
        <w:t xml:space="preserve">E.2	Digital Presence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Broker’s website must clearly distinguish between Equipment manufactured or distributed by the Supplier and any other products marketed by the Broker. Equipment product pages must link to the Supplier’s official website (www.haurakiplant.co.nz) and must use only images and specifications sourced from the Supplier’s current product literature.</w:t>
      </w:r>
    </w:p>
    <w:p>
      <w:pPr>
        <w:pStyle w:val="Heading2"/>
        <w:spacing w:after="160" w:before="240"/>
      </w:pPr>
      <w:r>
        <w:rPr>
          <w:rFonts w:ascii="Times New Roman" w:cs="Times New Roman" w:eastAsia="Times New Roman" w:hAnsi="Times New Roman"/>
          <w:b/>
          <w:bCs/>
          <w:sz w:val="24"/>
          <w:szCs w:val="24"/>
        </w:rPr>
        <w:t xml:space="preserve">E.3	Advertising Approval</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Any advertising or promotional campaign with an estimated cost exceeding NZ$5,000 (excluding GST) must be submitted to the Supplier for prior written approval at least 15 Business Days before the intended publication or launch date. The Supplier will not unreasonably withhold or delay such approval.</w:t>
      </w:r>
    </w:p>
    <w:p>
      <w:pPr>
        <w:pStyle w:val="Heading2"/>
        <w:spacing w:after="160" w:before="240"/>
      </w:pPr>
      <w:r>
        <w:rPr>
          <w:rFonts w:ascii="Times New Roman" w:cs="Times New Roman" w:eastAsia="Times New Roman" w:hAnsi="Times New Roman"/>
          <w:b/>
          <w:bCs/>
          <w:sz w:val="24"/>
          <w:szCs w:val="24"/>
        </w:rPr>
        <w:t xml:space="preserve">E.4	Social Media</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may promote Equipment via its social media channels provided that all posts comply with these guidelines and the Fair Trading Act 1986. The Broker will not make performance claims or comparisons with competitor products without the Supplier’s prior written approval. Any user-generated content shared by the Broker must be clearly identified as such.</w:t>
      </w:r>
    </w:p>
    <w:p>
      <w:pPr>
        <w:pStyle w:val="Heading2"/>
        <w:spacing w:after="160" w:before="240"/>
      </w:pPr>
      <w:r>
        <w:rPr>
          <w:rFonts w:ascii="Times New Roman" w:cs="Times New Roman" w:eastAsia="Times New Roman" w:hAnsi="Times New Roman"/>
          <w:b/>
          <w:bCs/>
          <w:sz w:val="24"/>
          <w:szCs w:val="24"/>
        </w:rPr>
        <w:t xml:space="preserve">E.5	Trade Events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At trade events attended by the Broker, the Broker’s stand or display area must prominently feature the Supplier’s branding in accordance with display guidelines provided by the Supplier from time to time. The Broker will provide the Supplier with at least 30 Business Days’ notice of any trade event at which it intends to display the Equipment, and will cooperate with the Supplier to ensure a coordinated and professional presentation.</w:t>
      </w:r>
    </w:p>
    <w:p>
      <w:pPr>
        <w:spacing w:after="0"/>
      </w:pPr>
    </w:p>
    <w:p>
      <w:pPr>
        <w:spacing w:after="120" w:before="400" w:line="276"/>
        <w:jc w:val="center"/>
      </w:pPr>
      <w:r>
        <w:rPr>
          <w:rFonts w:ascii="Times New Roman" w:cs="Times New Roman" w:eastAsia="Times New Roman" w:hAnsi="Times New Roman"/>
          <w:b w:val="false"/>
          <w:bCs w:val="false"/>
          <w:i/>
          <w:iCs/>
          <w:sz w:val="22"/>
          <w:szCs w:val="22"/>
        </w:rPr>
        <w:t xml:space="preserve">— End of Agreement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pPr>
    <w:r>
      <w:rPr>
        <w:rFonts w:ascii="Times New Roman" w:cs="Times New Roman" w:eastAsia="Times New Roman" w:hAnsi="Times New Roman"/>
        <w:i/>
        <w:iCs/>
        <w:color w:val="888888"/>
        <w:sz w:val="16"/>
        <w:szCs w:val="16"/>
      </w:rPr>
      <w:t xml:space="preserve">Henderson &amp; Associates – Confidential</w:t>
    </w:r>
    <w:r>
      <w:rPr>
        <w:rFonts w:ascii="Times New Roman" w:cs="Times New Roman" w:eastAsia="Times New Roman" w:hAnsi="Times New Roman"/>
        <w:color w:val="888888"/>
        <w:sz w:val="16"/>
        <w:szCs w:val="16"/>
      </w:rPr>
      <w:t xml:space="preserve">	Page </w:t>
    </w:r>
    <w:r>
      <w:rPr>
        <w:rFonts w:ascii="Times New Roman" w:cs="Times New Roman" w:eastAsia="Times New Roman" w:hAnsi="Times New Roman"/>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026"/>
      </w:tabs>
      <w:spacing w:after="0"/>
    </w:pPr>
    <w:r>
      <w:rPr>
        <w:rFonts w:ascii="Times New Roman" w:cs="Times New Roman" w:eastAsia="Times New Roman" w:hAnsi="Times New Roman"/>
        <w:i/>
        <w:iCs/>
        <w:color w:val="888888"/>
        <w:sz w:val="16"/>
        <w:szCs w:val="16"/>
      </w:rPr>
      <w:t xml:space="preserve">Equipment Supply and Brokerage Agreement</w:t>
    </w:r>
    <w:r>
      <w:rPr>
        <w:rFonts w:ascii="Times New Roman" w:cs="Times New Roman" w:eastAsia="Times New Roman" w:hAnsi="Times New Roman"/>
        <w:i/>
        <w:iCs/>
        <w:color w:val="888888"/>
        <w:sz w:val="16"/>
        <w:szCs w:val="16"/>
      </w:rPr>
      <w:t xml:space="preserve">	HEN/2023/04891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Times New Roman" w:cs="Times New Roman" w:eastAsia="Times New Roman" w:hAnsi="Times New Roman"/>
      <w:b/>
      <w:bCs/>
      <w:sz w:val="26"/>
      <w:szCs w:val="26"/>
    </w:rPr>
  </w:style>
  <w:style w:type="paragraph" w:styleId="Heading2">
    <w:name w:val="Heading 2"/>
    <w:basedOn w:val="Normal"/>
    <w:next w:val="Normal"/>
    <w:qFormat/>
    <w:pPr>
      <w:spacing w:after="160" w:before="24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2026-03-17T22:24:52.638Z</dcterms:created>
  <dcterms:modified xsi:type="dcterms:W3CDTF">2026-03-17T22:24:52.639Z</dcterms:modified>
</cp:coreProperties>
</file>

<file path=docProps/custom.xml><?xml version="1.0" encoding="utf-8"?>
<Properties xmlns="http://schemas.openxmlformats.org/officeDocument/2006/custom-properties" xmlns:vt="http://schemas.openxmlformats.org/officeDocument/2006/docPropsVTypes"/>
</file>